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 w:val="left" w:pos="8400"/>
        </w:tabs>
        <w:rPr>
          <w:rFonts w:hint="eastAsia"/>
        </w:rPr>
      </w:pPr>
    </w:p>
    <w:p>
      <w:pPr>
        <w:tabs>
          <w:tab w:val="left" w:pos="7560"/>
        </w:tabs>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240" w:lineRule="exact"/>
        <w:rPr>
          <w:rFonts w:hint="eastAsia"/>
        </w:rPr>
      </w:pPr>
    </w:p>
    <w:p>
      <w:pPr>
        <w:spacing w:line="240" w:lineRule="exact"/>
        <w:rPr>
          <w:rFonts w:hint="eastAsia"/>
        </w:rPr>
      </w:pPr>
    </w:p>
    <w:p>
      <w:pPr>
        <w:rPr>
          <w:rFonts w:hint="eastAsia"/>
        </w:rPr>
      </w:pPr>
    </w:p>
    <w:p>
      <w:pPr>
        <w:rPr>
          <w:rFonts w:hint="eastAsia"/>
        </w:rPr>
      </w:pPr>
    </w:p>
    <w:p>
      <w:pPr>
        <w:rPr>
          <w:rFonts w:hint="eastAsia"/>
        </w:rPr>
      </w:pPr>
    </w:p>
    <w:p>
      <w:pPr>
        <w:spacing w:line="620" w:lineRule="exact"/>
        <w:jc w:val="center"/>
        <w:rPr>
          <w:rFonts w:hint="eastAsia" w:ascii="方正小标宋简体" w:hAnsi="方正小标宋简体" w:eastAsia="方正小标宋简体" w:cs="方正小标宋简体"/>
          <w:bCs/>
          <w:sz w:val="44"/>
          <w:szCs w:val="44"/>
        </w:rPr>
      </w:pPr>
    </w:p>
    <w:p>
      <w:pPr>
        <w:spacing w:line="62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关于印发椒江区制造业高质量发展三年行动计划（2020—2022年）的通知</w:t>
      </w:r>
    </w:p>
    <w:p>
      <w:pPr>
        <w:spacing w:line="580" w:lineRule="exact"/>
        <w:rPr>
          <w:rFonts w:ascii="仿宋_GB2312" w:hAnsi="方正小标宋简体" w:eastAsia="仿宋_GB2312" w:cs="宋体"/>
          <w:color w:val="000000"/>
          <w:kern w:val="0"/>
          <w:sz w:val="32"/>
          <w:szCs w:val="32"/>
        </w:rPr>
      </w:pPr>
    </w:p>
    <w:p>
      <w:pPr>
        <w:spacing w:line="60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各街道办事处、大陈镇人民政府、区政府直属各单位：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《椒江区制造业高质量发展三年行动计划（2020—2022年）》已经区委、区政府同意，现印发给你们，请认真贯彻实施。</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4000" w:firstLineChars="1250"/>
        <w:rPr>
          <w:rFonts w:ascii="仿宋_GB2312" w:eastAsia="仿宋_GB2312"/>
          <w:sz w:val="32"/>
          <w:szCs w:val="32"/>
        </w:rPr>
      </w:pPr>
      <w:r>
        <w:rPr>
          <w:rFonts w:hint="eastAsia" w:ascii="仿宋_GB2312" w:eastAsia="仿宋_GB2312" w:cs="仿宋_GB2312"/>
          <w:sz w:val="32"/>
          <w:szCs w:val="32"/>
        </w:rPr>
        <w:t>台州市椒江区人民政府办公室</w:t>
      </w:r>
    </w:p>
    <w:p>
      <w:pPr>
        <w:spacing w:line="600" w:lineRule="exact"/>
        <w:ind w:firstLine="5280" w:firstLineChars="1650"/>
        <w:rPr>
          <w:rFonts w:ascii="仿宋_GB2312" w:eastAsia="仿宋_GB2312" w:cs="仿宋_GB2312"/>
          <w:sz w:val="32"/>
          <w:szCs w:val="32"/>
        </w:rPr>
      </w:pPr>
      <w:r>
        <w:rPr>
          <w:rFonts w:ascii="仿宋_GB2312" w:eastAsia="仿宋_GB2312" w:cs="仿宋_GB2312"/>
          <w:sz w:val="32"/>
          <w:szCs w:val="32"/>
        </w:rPr>
        <w:t>20</w:t>
      </w:r>
      <w:r>
        <w:rPr>
          <w:rFonts w:hint="eastAsia" w:ascii="仿宋_GB2312" w:eastAsia="仿宋_GB2312" w:cs="仿宋_GB2312"/>
          <w:sz w:val="32"/>
          <w:szCs w:val="32"/>
        </w:rPr>
        <w:t>20年9月20日</w:t>
      </w:r>
    </w:p>
    <w:p>
      <w:pPr>
        <w:jc w:val="center"/>
        <w:rPr>
          <w:rFonts w:hint="eastAsia" w:ascii="Times New Roman" w:cs="Times New Roman"/>
          <w:b/>
          <w:sz w:val="36"/>
          <w:szCs w:val="36"/>
        </w:rPr>
      </w:pPr>
    </w:p>
    <w:p>
      <w:pPr>
        <w:jc w:val="center"/>
        <w:rPr>
          <w:rFonts w:hint="eastAsia" w:ascii="Times New Roman" w:cs="Times New Roman"/>
          <w:b/>
          <w:sz w:val="36"/>
          <w:szCs w:val="36"/>
        </w:rPr>
      </w:pPr>
    </w:p>
    <w:p>
      <w:pPr>
        <w:jc w:val="center"/>
        <w:rPr>
          <w:rFonts w:hint="eastAsia" w:ascii="Times New Roman" w:cs="Times New Roman"/>
          <w:b/>
          <w:sz w:val="36"/>
          <w:szCs w:val="36"/>
        </w:rPr>
      </w:pPr>
    </w:p>
    <w:p>
      <w:pPr>
        <w:jc w:val="center"/>
        <w:rPr>
          <w:rFonts w:ascii="Times New Roman" w:hAnsi="Times New Roman" w:cs="Times New Roman"/>
          <w:b/>
          <w:sz w:val="36"/>
          <w:szCs w:val="36"/>
        </w:rPr>
      </w:pPr>
      <w:r>
        <w:rPr>
          <w:rFonts w:ascii="Times New Roman" w:cs="Times New Roman"/>
          <w:b/>
          <w:sz w:val="36"/>
          <w:szCs w:val="36"/>
        </w:rPr>
        <w:t>椒江区制造业高质量发展三年行动计划</w:t>
      </w:r>
    </w:p>
    <w:p>
      <w:pPr>
        <w:jc w:val="center"/>
        <w:rPr>
          <w:rFonts w:ascii="Times New Roman" w:hAnsi="Times New Roman" w:cs="Times New Roman"/>
          <w:b/>
          <w:sz w:val="36"/>
          <w:szCs w:val="36"/>
        </w:rPr>
      </w:pPr>
      <w:bookmarkStart w:id="0" w:name="_Toc44333695"/>
      <w:r>
        <w:rPr>
          <w:rFonts w:ascii="Times New Roman" w:hAnsi="Times New Roman" w:cs="Times New Roman"/>
          <w:b/>
          <w:sz w:val="36"/>
          <w:szCs w:val="36"/>
        </w:rPr>
        <w:t>（2020—2022年）</w:t>
      </w:r>
      <w:bookmarkEnd w:id="0"/>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hint="eastAsia"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2"/>
          <w:szCs w:val="32"/>
        </w:rPr>
      </w:pPr>
      <w:r>
        <w:rPr>
          <w:rFonts w:hint="eastAsia" w:ascii="Times New Roman" w:hAnsi="Times New Roman" w:cs="Times New Roman"/>
          <w:b/>
          <w:sz w:val="32"/>
          <w:szCs w:val="32"/>
        </w:rPr>
        <w:t>目 录</w:t>
      </w:r>
    </w:p>
    <w:p>
      <w:pPr>
        <w:jc w:val="center"/>
        <w:rPr>
          <w:rFonts w:ascii="Times New Roman" w:hAnsi="Times New Roman" w:cs="Times New Roman"/>
          <w:b/>
          <w:sz w:val="32"/>
          <w:szCs w:val="32"/>
        </w:rPr>
      </w:pPr>
    </w:p>
    <w:p>
      <w:pPr>
        <w:pStyle w:val="7"/>
        <w:rPr>
          <w:rFonts w:cstheme="minorBidi"/>
        </w:rPr>
      </w:pPr>
      <w:r>
        <w:fldChar w:fldCharType="begin"/>
      </w:r>
      <w:r>
        <w:rPr>
          <w:rFonts w:hint="eastAsia"/>
        </w:rPr>
        <w:instrText xml:space="preserve">TOC \o "1-2" \h \z \u</w:instrText>
      </w:r>
      <w:r>
        <w:fldChar w:fldCharType="separate"/>
      </w:r>
      <w:r>
        <w:fldChar w:fldCharType="begin"/>
      </w:r>
      <w:r>
        <w:instrText xml:space="preserve"> HYPERLINK \l "_Toc44333969" </w:instrText>
      </w:r>
      <w:r>
        <w:fldChar w:fldCharType="separate"/>
      </w:r>
      <w:r>
        <w:rPr>
          <w:rStyle w:val="12"/>
          <w:rFonts w:hint="eastAsia"/>
        </w:rPr>
        <w:t>一、总体要求</w:t>
      </w:r>
      <w:r>
        <w:tab/>
      </w:r>
      <w:r>
        <w:fldChar w:fldCharType="begin"/>
      </w:r>
      <w:r>
        <w:instrText xml:space="preserve"> PAGEREF _Toc44333969 \h </w:instrText>
      </w:r>
      <w:r>
        <w:fldChar w:fldCharType="separate"/>
      </w:r>
      <w:r>
        <w:t>4</w:t>
      </w:r>
      <w:r>
        <w:fldChar w:fldCharType="end"/>
      </w:r>
      <w:r>
        <w:fldChar w:fldCharType="end"/>
      </w:r>
    </w:p>
    <w:p>
      <w:pPr>
        <w:pStyle w:val="8"/>
        <w:tabs>
          <w:tab w:val="right" w:leader="dot" w:pos="8296"/>
        </w:tabs>
        <w:rPr>
          <w:rFonts w:ascii="宋体" w:hAnsi="宋体" w:eastAsia="宋体"/>
          <w:sz w:val="32"/>
          <w:szCs w:val="32"/>
        </w:rPr>
      </w:pPr>
      <w:r>
        <w:fldChar w:fldCharType="begin"/>
      </w:r>
      <w:r>
        <w:instrText xml:space="preserve"> HYPERLINK \l "_Toc44333970" </w:instrText>
      </w:r>
      <w:r>
        <w:fldChar w:fldCharType="separate"/>
      </w:r>
      <w:r>
        <w:rPr>
          <w:rStyle w:val="12"/>
          <w:rFonts w:hint="eastAsia" w:ascii="宋体" w:hAnsi="宋体" w:eastAsia="宋体" w:cs="Times New Roman"/>
          <w:sz w:val="32"/>
          <w:szCs w:val="32"/>
        </w:rPr>
        <w:t>（一）指导思想</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_Toc44333970 \h </w:instrText>
      </w:r>
      <w:r>
        <w:rPr>
          <w:rFonts w:ascii="宋体" w:hAnsi="宋体" w:eastAsia="宋体"/>
          <w:sz w:val="32"/>
          <w:szCs w:val="32"/>
        </w:rPr>
        <w:fldChar w:fldCharType="separate"/>
      </w:r>
      <w:r>
        <w:rPr>
          <w:rFonts w:ascii="宋体" w:hAnsi="宋体" w:eastAsia="宋体"/>
          <w:sz w:val="32"/>
          <w:szCs w:val="32"/>
        </w:rPr>
        <w:t>4</w:t>
      </w:r>
      <w:r>
        <w:rPr>
          <w:rFonts w:ascii="宋体" w:hAnsi="宋体" w:eastAsia="宋体"/>
          <w:sz w:val="32"/>
          <w:szCs w:val="32"/>
        </w:rPr>
        <w:fldChar w:fldCharType="end"/>
      </w:r>
      <w:r>
        <w:rPr>
          <w:rFonts w:ascii="宋体" w:hAnsi="宋体" w:eastAsia="宋体"/>
          <w:sz w:val="32"/>
          <w:szCs w:val="32"/>
        </w:rPr>
        <w:fldChar w:fldCharType="end"/>
      </w:r>
    </w:p>
    <w:p>
      <w:pPr>
        <w:pStyle w:val="8"/>
        <w:tabs>
          <w:tab w:val="right" w:leader="dot" w:pos="8296"/>
        </w:tabs>
        <w:rPr>
          <w:rFonts w:ascii="宋体" w:hAnsi="宋体" w:eastAsia="宋体"/>
          <w:sz w:val="32"/>
          <w:szCs w:val="32"/>
        </w:rPr>
      </w:pPr>
      <w:r>
        <w:fldChar w:fldCharType="begin"/>
      </w:r>
      <w:r>
        <w:instrText xml:space="preserve"> HYPERLINK \l "_Toc44333971" </w:instrText>
      </w:r>
      <w:r>
        <w:fldChar w:fldCharType="separate"/>
      </w:r>
      <w:r>
        <w:rPr>
          <w:rStyle w:val="12"/>
          <w:rFonts w:hint="eastAsia" w:ascii="宋体" w:hAnsi="宋体" w:eastAsia="宋体" w:cs="Times New Roman"/>
          <w:sz w:val="32"/>
          <w:szCs w:val="32"/>
        </w:rPr>
        <w:t>（二）发展路径</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_Toc44333971 \h </w:instrText>
      </w:r>
      <w:r>
        <w:rPr>
          <w:rFonts w:ascii="宋体" w:hAnsi="宋体" w:eastAsia="宋体"/>
          <w:sz w:val="32"/>
          <w:szCs w:val="32"/>
        </w:rPr>
        <w:fldChar w:fldCharType="separate"/>
      </w:r>
      <w:r>
        <w:rPr>
          <w:rFonts w:ascii="宋体" w:hAnsi="宋体" w:eastAsia="宋体"/>
          <w:sz w:val="32"/>
          <w:szCs w:val="32"/>
        </w:rPr>
        <w:t>4</w:t>
      </w:r>
      <w:r>
        <w:rPr>
          <w:rFonts w:ascii="宋体" w:hAnsi="宋体" w:eastAsia="宋体"/>
          <w:sz w:val="32"/>
          <w:szCs w:val="32"/>
        </w:rPr>
        <w:fldChar w:fldCharType="end"/>
      </w:r>
      <w:r>
        <w:rPr>
          <w:rFonts w:ascii="宋体" w:hAnsi="宋体" w:eastAsia="宋体"/>
          <w:sz w:val="32"/>
          <w:szCs w:val="32"/>
        </w:rPr>
        <w:fldChar w:fldCharType="end"/>
      </w:r>
    </w:p>
    <w:p>
      <w:pPr>
        <w:pStyle w:val="8"/>
        <w:tabs>
          <w:tab w:val="right" w:leader="dot" w:pos="8296"/>
        </w:tabs>
        <w:rPr>
          <w:rFonts w:ascii="宋体" w:hAnsi="宋体" w:eastAsia="宋体"/>
          <w:sz w:val="32"/>
          <w:szCs w:val="32"/>
        </w:rPr>
      </w:pPr>
      <w:r>
        <w:fldChar w:fldCharType="begin"/>
      </w:r>
      <w:r>
        <w:instrText xml:space="preserve"> HYPERLINK \l "_Toc44333972" </w:instrText>
      </w:r>
      <w:r>
        <w:fldChar w:fldCharType="separate"/>
      </w:r>
      <w:r>
        <w:rPr>
          <w:rStyle w:val="12"/>
          <w:rFonts w:hint="eastAsia" w:ascii="宋体" w:hAnsi="宋体" w:eastAsia="宋体" w:cs="Times New Roman"/>
          <w:sz w:val="32"/>
          <w:szCs w:val="32"/>
        </w:rPr>
        <w:t>（三）主要目标</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_Toc44333972 \h </w:instrText>
      </w:r>
      <w:r>
        <w:rPr>
          <w:rFonts w:ascii="宋体" w:hAnsi="宋体" w:eastAsia="宋体"/>
          <w:sz w:val="32"/>
          <w:szCs w:val="32"/>
        </w:rPr>
        <w:fldChar w:fldCharType="separate"/>
      </w:r>
      <w:r>
        <w:rPr>
          <w:rFonts w:ascii="宋体" w:hAnsi="宋体" w:eastAsia="宋体"/>
          <w:sz w:val="32"/>
          <w:szCs w:val="32"/>
        </w:rPr>
        <w:t>5</w:t>
      </w:r>
      <w:r>
        <w:rPr>
          <w:rFonts w:ascii="宋体" w:hAnsi="宋体" w:eastAsia="宋体"/>
          <w:sz w:val="32"/>
          <w:szCs w:val="32"/>
        </w:rPr>
        <w:fldChar w:fldCharType="end"/>
      </w:r>
      <w:r>
        <w:rPr>
          <w:rFonts w:ascii="宋体" w:hAnsi="宋体" w:eastAsia="宋体"/>
          <w:sz w:val="32"/>
          <w:szCs w:val="32"/>
        </w:rPr>
        <w:fldChar w:fldCharType="end"/>
      </w:r>
    </w:p>
    <w:p>
      <w:pPr>
        <w:pStyle w:val="7"/>
        <w:rPr>
          <w:rFonts w:cstheme="minorBidi"/>
        </w:rPr>
      </w:pPr>
      <w:r>
        <w:fldChar w:fldCharType="begin"/>
      </w:r>
      <w:r>
        <w:instrText xml:space="preserve"> HYPERLINK \l "_Toc44333973" </w:instrText>
      </w:r>
      <w:r>
        <w:fldChar w:fldCharType="separate"/>
      </w:r>
      <w:r>
        <w:rPr>
          <w:rStyle w:val="12"/>
          <w:rFonts w:hint="eastAsia"/>
        </w:rPr>
        <w:t>二、主要任务</w:t>
      </w:r>
      <w:r>
        <w:tab/>
      </w:r>
      <w:r>
        <w:fldChar w:fldCharType="begin"/>
      </w:r>
      <w:r>
        <w:instrText xml:space="preserve"> PAGEREF _Toc44333973 \h </w:instrText>
      </w:r>
      <w:r>
        <w:fldChar w:fldCharType="separate"/>
      </w:r>
      <w:r>
        <w:t>6</w:t>
      </w:r>
      <w:r>
        <w:fldChar w:fldCharType="end"/>
      </w:r>
      <w:r>
        <w:fldChar w:fldCharType="end"/>
      </w:r>
    </w:p>
    <w:p>
      <w:pPr>
        <w:pStyle w:val="8"/>
        <w:tabs>
          <w:tab w:val="right" w:leader="dot" w:pos="8296"/>
        </w:tabs>
        <w:rPr>
          <w:rFonts w:ascii="宋体" w:hAnsi="宋体" w:eastAsia="宋体"/>
          <w:sz w:val="32"/>
          <w:szCs w:val="32"/>
        </w:rPr>
      </w:pPr>
      <w:r>
        <w:fldChar w:fldCharType="begin"/>
      </w:r>
      <w:r>
        <w:instrText xml:space="preserve"> HYPERLINK \l "_Toc44333974" </w:instrText>
      </w:r>
      <w:r>
        <w:fldChar w:fldCharType="separate"/>
      </w:r>
      <w:r>
        <w:rPr>
          <w:rStyle w:val="12"/>
          <w:rFonts w:hint="eastAsia" w:ascii="宋体" w:hAnsi="宋体" w:eastAsia="宋体" w:cs="Times New Roman"/>
          <w:sz w:val="32"/>
          <w:szCs w:val="32"/>
        </w:rPr>
        <w:t>（一）产业集群打造行动</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_Toc44333974 \h </w:instrText>
      </w:r>
      <w:r>
        <w:rPr>
          <w:rFonts w:ascii="宋体" w:hAnsi="宋体" w:eastAsia="宋体"/>
          <w:sz w:val="32"/>
          <w:szCs w:val="32"/>
        </w:rPr>
        <w:fldChar w:fldCharType="separate"/>
      </w:r>
      <w:r>
        <w:rPr>
          <w:rFonts w:ascii="宋体" w:hAnsi="宋体" w:eastAsia="宋体"/>
          <w:sz w:val="32"/>
          <w:szCs w:val="32"/>
        </w:rPr>
        <w:t>6</w:t>
      </w:r>
      <w:r>
        <w:rPr>
          <w:rFonts w:ascii="宋体" w:hAnsi="宋体" w:eastAsia="宋体"/>
          <w:sz w:val="32"/>
          <w:szCs w:val="32"/>
        </w:rPr>
        <w:fldChar w:fldCharType="end"/>
      </w:r>
      <w:r>
        <w:rPr>
          <w:rFonts w:ascii="宋体" w:hAnsi="宋体" w:eastAsia="宋体"/>
          <w:sz w:val="32"/>
          <w:szCs w:val="32"/>
        </w:rPr>
        <w:fldChar w:fldCharType="end"/>
      </w:r>
    </w:p>
    <w:p>
      <w:pPr>
        <w:pStyle w:val="8"/>
        <w:tabs>
          <w:tab w:val="right" w:leader="dot" w:pos="8296"/>
        </w:tabs>
        <w:rPr>
          <w:rFonts w:ascii="宋体" w:hAnsi="宋体" w:eastAsia="宋体"/>
          <w:sz w:val="32"/>
          <w:szCs w:val="32"/>
        </w:rPr>
      </w:pPr>
      <w:r>
        <w:fldChar w:fldCharType="begin"/>
      </w:r>
      <w:r>
        <w:instrText xml:space="preserve"> HYPERLINK \l "_Toc44333981" </w:instrText>
      </w:r>
      <w:r>
        <w:fldChar w:fldCharType="separate"/>
      </w:r>
      <w:r>
        <w:rPr>
          <w:rStyle w:val="12"/>
          <w:rFonts w:hint="eastAsia" w:ascii="宋体" w:hAnsi="宋体" w:eastAsia="宋体" w:cs="Times New Roman"/>
          <w:sz w:val="32"/>
          <w:szCs w:val="32"/>
        </w:rPr>
        <w:t>（二）科技创新领航行动</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_Toc44333981 \h </w:instrText>
      </w:r>
      <w:r>
        <w:rPr>
          <w:rFonts w:ascii="宋体" w:hAnsi="宋体" w:eastAsia="宋体"/>
          <w:sz w:val="32"/>
          <w:szCs w:val="32"/>
        </w:rPr>
        <w:fldChar w:fldCharType="separate"/>
      </w:r>
      <w:r>
        <w:rPr>
          <w:rFonts w:ascii="宋体" w:hAnsi="宋体" w:eastAsia="宋体"/>
          <w:sz w:val="32"/>
          <w:szCs w:val="32"/>
        </w:rPr>
        <w:t>8</w:t>
      </w:r>
      <w:r>
        <w:rPr>
          <w:rFonts w:ascii="宋体" w:hAnsi="宋体" w:eastAsia="宋体"/>
          <w:sz w:val="32"/>
          <w:szCs w:val="32"/>
        </w:rPr>
        <w:fldChar w:fldCharType="end"/>
      </w:r>
      <w:r>
        <w:rPr>
          <w:rFonts w:ascii="宋体" w:hAnsi="宋体" w:eastAsia="宋体"/>
          <w:sz w:val="32"/>
          <w:szCs w:val="32"/>
        </w:rPr>
        <w:fldChar w:fldCharType="end"/>
      </w:r>
    </w:p>
    <w:p>
      <w:pPr>
        <w:pStyle w:val="8"/>
        <w:tabs>
          <w:tab w:val="right" w:leader="dot" w:pos="8296"/>
        </w:tabs>
        <w:rPr>
          <w:rFonts w:ascii="宋体" w:hAnsi="宋体" w:eastAsia="宋体"/>
          <w:sz w:val="32"/>
          <w:szCs w:val="32"/>
        </w:rPr>
      </w:pPr>
      <w:r>
        <w:fldChar w:fldCharType="begin"/>
      </w:r>
      <w:r>
        <w:instrText xml:space="preserve"> HYPERLINK \l "_Toc44333982" </w:instrText>
      </w:r>
      <w:r>
        <w:fldChar w:fldCharType="separate"/>
      </w:r>
      <w:r>
        <w:rPr>
          <w:rStyle w:val="12"/>
          <w:rFonts w:hint="eastAsia" w:ascii="宋体" w:hAnsi="宋体" w:eastAsia="宋体" w:cs="Times New Roman"/>
          <w:sz w:val="32"/>
          <w:szCs w:val="32"/>
        </w:rPr>
        <w:t>（三）产业平台优化行动</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_Toc44333982 \h </w:instrText>
      </w:r>
      <w:r>
        <w:rPr>
          <w:rFonts w:ascii="宋体" w:hAnsi="宋体" w:eastAsia="宋体"/>
          <w:sz w:val="32"/>
          <w:szCs w:val="32"/>
        </w:rPr>
        <w:fldChar w:fldCharType="separate"/>
      </w:r>
      <w:r>
        <w:rPr>
          <w:rFonts w:ascii="宋体" w:hAnsi="宋体" w:eastAsia="宋体"/>
          <w:sz w:val="32"/>
          <w:szCs w:val="32"/>
        </w:rPr>
        <w:t>9</w:t>
      </w:r>
      <w:r>
        <w:rPr>
          <w:rFonts w:ascii="宋体" w:hAnsi="宋体" w:eastAsia="宋体"/>
          <w:sz w:val="32"/>
          <w:szCs w:val="32"/>
        </w:rPr>
        <w:fldChar w:fldCharType="end"/>
      </w:r>
      <w:r>
        <w:rPr>
          <w:rFonts w:ascii="宋体" w:hAnsi="宋体" w:eastAsia="宋体"/>
          <w:sz w:val="32"/>
          <w:szCs w:val="32"/>
        </w:rPr>
        <w:fldChar w:fldCharType="end"/>
      </w:r>
    </w:p>
    <w:p>
      <w:pPr>
        <w:pStyle w:val="8"/>
        <w:tabs>
          <w:tab w:val="right" w:leader="dot" w:pos="8296"/>
        </w:tabs>
        <w:rPr>
          <w:rFonts w:ascii="宋体" w:hAnsi="宋体" w:eastAsia="宋体"/>
          <w:sz w:val="32"/>
          <w:szCs w:val="32"/>
        </w:rPr>
      </w:pPr>
      <w:r>
        <w:fldChar w:fldCharType="begin"/>
      </w:r>
      <w:r>
        <w:instrText xml:space="preserve"> HYPERLINK \l "_Toc44333983" </w:instrText>
      </w:r>
      <w:r>
        <w:fldChar w:fldCharType="separate"/>
      </w:r>
      <w:r>
        <w:rPr>
          <w:rStyle w:val="12"/>
          <w:rFonts w:hint="eastAsia" w:ascii="宋体" w:hAnsi="宋体" w:eastAsia="宋体" w:cs="Times New Roman"/>
          <w:sz w:val="32"/>
          <w:szCs w:val="32"/>
        </w:rPr>
        <w:t>（四）企业主体培育行动</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_Toc44333983 \h </w:instrText>
      </w:r>
      <w:r>
        <w:rPr>
          <w:rFonts w:ascii="宋体" w:hAnsi="宋体" w:eastAsia="宋体"/>
          <w:sz w:val="32"/>
          <w:szCs w:val="32"/>
        </w:rPr>
        <w:fldChar w:fldCharType="separate"/>
      </w:r>
      <w:r>
        <w:rPr>
          <w:rFonts w:ascii="宋体" w:hAnsi="宋体" w:eastAsia="宋体"/>
          <w:sz w:val="32"/>
          <w:szCs w:val="32"/>
        </w:rPr>
        <w:t>11</w:t>
      </w:r>
      <w:r>
        <w:rPr>
          <w:rFonts w:ascii="宋体" w:hAnsi="宋体" w:eastAsia="宋体"/>
          <w:sz w:val="32"/>
          <w:szCs w:val="32"/>
        </w:rPr>
        <w:fldChar w:fldCharType="end"/>
      </w:r>
      <w:r>
        <w:rPr>
          <w:rFonts w:ascii="宋体" w:hAnsi="宋体" w:eastAsia="宋体"/>
          <w:sz w:val="32"/>
          <w:szCs w:val="32"/>
        </w:rPr>
        <w:fldChar w:fldCharType="end"/>
      </w:r>
    </w:p>
    <w:p>
      <w:pPr>
        <w:pStyle w:val="8"/>
        <w:tabs>
          <w:tab w:val="right" w:leader="dot" w:pos="8296"/>
        </w:tabs>
        <w:rPr>
          <w:rFonts w:ascii="宋体" w:hAnsi="宋体" w:eastAsia="宋体"/>
          <w:sz w:val="32"/>
          <w:szCs w:val="32"/>
        </w:rPr>
      </w:pPr>
      <w:r>
        <w:fldChar w:fldCharType="begin"/>
      </w:r>
      <w:r>
        <w:instrText xml:space="preserve"> HYPERLINK \l "_Toc44333984" </w:instrText>
      </w:r>
      <w:r>
        <w:fldChar w:fldCharType="separate"/>
      </w:r>
      <w:r>
        <w:rPr>
          <w:rStyle w:val="12"/>
          <w:rFonts w:hint="eastAsia" w:ascii="宋体" w:hAnsi="宋体" w:eastAsia="宋体" w:cs="Times New Roman"/>
          <w:sz w:val="32"/>
          <w:szCs w:val="32"/>
        </w:rPr>
        <w:t>（五）制造服务融合行动</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_Toc44333984 \h </w:instrText>
      </w:r>
      <w:r>
        <w:rPr>
          <w:rFonts w:ascii="宋体" w:hAnsi="宋体" w:eastAsia="宋体"/>
          <w:sz w:val="32"/>
          <w:szCs w:val="32"/>
        </w:rPr>
        <w:fldChar w:fldCharType="separate"/>
      </w:r>
      <w:r>
        <w:rPr>
          <w:rFonts w:ascii="宋体" w:hAnsi="宋体" w:eastAsia="宋体"/>
          <w:sz w:val="32"/>
          <w:szCs w:val="32"/>
        </w:rPr>
        <w:t>13</w:t>
      </w:r>
      <w:r>
        <w:rPr>
          <w:rFonts w:ascii="宋体" w:hAnsi="宋体" w:eastAsia="宋体"/>
          <w:sz w:val="32"/>
          <w:szCs w:val="32"/>
        </w:rPr>
        <w:fldChar w:fldCharType="end"/>
      </w:r>
      <w:r>
        <w:rPr>
          <w:rFonts w:ascii="宋体" w:hAnsi="宋体" w:eastAsia="宋体"/>
          <w:sz w:val="32"/>
          <w:szCs w:val="32"/>
        </w:rPr>
        <w:fldChar w:fldCharType="end"/>
      </w:r>
    </w:p>
    <w:p>
      <w:pPr>
        <w:pStyle w:val="8"/>
        <w:tabs>
          <w:tab w:val="right" w:leader="dot" w:pos="8296"/>
        </w:tabs>
        <w:rPr>
          <w:rFonts w:ascii="宋体" w:hAnsi="宋体" w:eastAsia="宋体"/>
          <w:sz w:val="32"/>
          <w:szCs w:val="32"/>
        </w:rPr>
      </w:pPr>
      <w:r>
        <w:fldChar w:fldCharType="begin"/>
      </w:r>
      <w:r>
        <w:instrText xml:space="preserve"> HYPERLINK \l "_Toc44333985" </w:instrText>
      </w:r>
      <w:r>
        <w:fldChar w:fldCharType="separate"/>
      </w:r>
      <w:r>
        <w:rPr>
          <w:rStyle w:val="12"/>
          <w:rFonts w:hint="eastAsia" w:ascii="宋体" w:hAnsi="宋体" w:eastAsia="宋体" w:cs="Times New Roman"/>
          <w:sz w:val="32"/>
          <w:szCs w:val="32"/>
        </w:rPr>
        <w:t>（六）智能智造升级行动</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_Toc44333985 \h </w:instrText>
      </w:r>
      <w:r>
        <w:rPr>
          <w:rFonts w:ascii="宋体" w:hAnsi="宋体" w:eastAsia="宋体"/>
          <w:sz w:val="32"/>
          <w:szCs w:val="32"/>
        </w:rPr>
        <w:fldChar w:fldCharType="separate"/>
      </w:r>
      <w:r>
        <w:rPr>
          <w:rFonts w:ascii="宋体" w:hAnsi="宋体" w:eastAsia="宋体"/>
          <w:sz w:val="32"/>
          <w:szCs w:val="32"/>
        </w:rPr>
        <w:t>15</w:t>
      </w:r>
      <w:r>
        <w:rPr>
          <w:rFonts w:ascii="宋体" w:hAnsi="宋体" w:eastAsia="宋体"/>
          <w:sz w:val="32"/>
          <w:szCs w:val="32"/>
        </w:rPr>
        <w:fldChar w:fldCharType="end"/>
      </w:r>
      <w:r>
        <w:rPr>
          <w:rFonts w:ascii="宋体" w:hAnsi="宋体" w:eastAsia="宋体"/>
          <w:sz w:val="32"/>
          <w:szCs w:val="32"/>
        </w:rPr>
        <w:fldChar w:fldCharType="end"/>
      </w:r>
    </w:p>
    <w:p>
      <w:pPr>
        <w:pStyle w:val="8"/>
        <w:tabs>
          <w:tab w:val="right" w:leader="dot" w:pos="8296"/>
        </w:tabs>
        <w:rPr>
          <w:rFonts w:ascii="宋体" w:hAnsi="宋体" w:eastAsia="宋体"/>
          <w:sz w:val="32"/>
          <w:szCs w:val="32"/>
        </w:rPr>
      </w:pPr>
      <w:r>
        <w:fldChar w:fldCharType="begin"/>
      </w:r>
      <w:r>
        <w:instrText xml:space="preserve"> HYPERLINK \l "_Toc44333986" </w:instrText>
      </w:r>
      <w:r>
        <w:fldChar w:fldCharType="separate"/>
      </w:r>
      <w:r>
        <w:rPr>
          <w:rStyle w:val="12"/>
          <w:rFonts w:hint="eastAsia" w:ascii="宋体" w:hAnsi="宋体" w:eastAsia="宋体" w:cs="Times New Roman"/>
          <w:sz w:val="32"/>
          <w:szCs w:val="32"/>
        </w:rPr>
        <w:t>（七）质量品牌提升行动</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_Toc44333986 \h </w:instrText>
      </w:r>
      <w:r>
        <w:rPr>
          <w:rFonts w:ascii="宋体" w:hAnsi="宋体" w:eastAsia="宋体"/>
          <w:sz w:val="32"/>
          <w:szCs w:val="32"/>
        </w:rPr>
        <w:fldChar w:fldCharType="separate"/>
      </w:r>
      <w:r>
        <w:rPr>
          <w:rFonts w:ascii="宋体" w:hAnsi="宋体" w:eastAsia="宋体"/>
          <w:sz w:val="32"/>
          <w:szCs w:val="32"/>
        </w:rPr>
        <w:t>16</w:t>
      </w:r>
      <w:r>
        <w:rPr>
          <w:rFonts w:ascii="宋体" w:hAnsi="宋体" w:eastAsia="宋体"/>
          <w:sz w:val="32"/>
          <w:szCs w:val="32"/>
        </w:rPr>
        <w:fldChar w:fldCharType="end"/>
      </w:r>
      <w:r>
        <w:rPr>
          <w:rFonts w:ascii="宋体" w:hAnsi="宋体" w:eastAsia="宋体"/>
          <w:sz w:val="32"/>
          <w:szCs w:val="32"/>
        </w:rPr>
        <w:fldChar w:fldCharType="end"/>
      </w:r>
    </w:p>
    <w:p>
      <w:pPr>
        <w:pStyle w:val="8"/>
        <w:tabs>
          <w:tab w:val="right" w:leader="dot" w:pos="8296"/>
        </w:tabs>
        <w:rPr>
          <w:rFonts w:ascii="宋体" w:hAnsi="宋体" w:eastAsia="宋体"/>
          <w:sz w:val="32"/>
          <w:szCs w:val="32"/>
        </w:rPr>
      </w:pPr>
      <w:r>
        <w:fldChar w:fldCharType="begin"/>
      </w:r>
      <w:r>
        <w:instrText xml:space="preserve"> HYPERLINK \l "_Toc44333987" </w:instrText>
      </w:r>
      <w:r>
        <w:fldChar w:fldCharType="separate"/>
      </w:r>
      <w:r>
        <w:rPr>
          <w:rStyle w:val="12"/>
          <w:rFonts w:hint="eastAsia" w:ascii="宋体" w:hAnsi="宋体" w:eastAsia="宋体" w:cs="Times New Roman"/>
          <w:sz w:val="32"/>
          <w:szCs w:val="32"/>
        </w:rPr>
        <w:t>（八）绿色循环推进行动</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_Toc44333987 \h </w:instrText>
      </w:r>
      <w:r>
        <w:rPr>
          <w:rFonts w:ascii="宋体" w:hAnsi="宋体" w:eastAsia="宋体"/>
          <w:sz w:val="32"/>
          <w:szCs w:val="32"/>
        </w:rPr>
        <w:fldChar w:fldCharType="separate"/>
      </w:r>
      <w:r>
        <w:rPr>
          <w:rFonts w:ascii="宋体" w:hAnsi="宋体" w:eastAsia="宋体"/>
          <w:sz w:val="32"/>
          <w:szCs w:val="32"/>
        </w:rPr>
        <w:t>17</w:t>
      </w:r>
      <w:r>
        <w:rPr>
          <w:rFonts w:ascii="宋体" w:hAnsi="宋体" w:eastAsia="宋体"/>
          <w:sz w:val="32"/>
          <w:szCs w:val="32"/>
        </w:rPr>
        <w:fldChar w:fldCharType="end"/>
      </w:r>
      <w:r>
        <w:rPr>
          <w:rFonts w:ascii="宋体" w:hAnsi="宋体" w:eastAsia="宋体"/>
          <w:sz w:val="32"/>
          <w:szCs w:val="32"/>
        </w:rPr>
        <w:fldChar w:fldCharType="end"/>
      </w:r>
    </w:p>
    <w:p>
      <w:pPr>
        <w:pStyle w:val="7"/>
        <w:rPr>
          <w:rFonts w:cstheme="minorBidi"/>
        </w:rPr>
      </w:pPr>
      <w:r>
        <w:fldChar w:fldCharType="begin"/>
      </w:r>
      <w:r>
        <w:instrText xml:space="preserve"> HYPERLINK \l "_Toc44333988" </w:instrText>
      </w:r>
      <w:r>
        <w:fldChar w:fldCharType="separate"/>
      </w:r>
      <w:r>
        <w:rPr>
          <w:rStyle w:val="12"/>
          <w:rFonts w:hint="eastAsia"/>
        </w:rPr>
        <w:t>三、保障措施</w:t>
      </w:r>
      <w:r>
        <w:tab/>
      </w:r>
      <w:r>
        <w:fldChar w:fldCharType="begin"/>
      </w:r>
      <w:r>
        <w:instrText xml:space="preserve"> PAGEREF _Toc44333988 \h </w:instrText>
      </w:r>
      <w:r>
        <w:fldChar w:fldCharType="separate"/>
      </w:r>
      <w:r>
        <w:t>19</w:t>
      </w:r>
      <w:r>
        <w:fldChar w:fldCharType="end"/>
      </w:r>
      <w:r>
        <w:fldChar w:fldCharType="end"/>
      </w:r>
    </w:p>
    <w:p>
      <w:pPr>
        <w:pStyle w:val="8"/>
        <w:tabs>
          <w:tab w:val="right" w:leader="dot" w:pos="8296"/>
        </w:tabs>
        <w:rPr>
          <w:rFonts w:ascii="宋体" w:hAnsi="宋体" w:eastAsia="宋体"/>
          <w:sz w:val="32"/>
          <w:szCs w:val="32"/>
        </w:rPr>
      </w:pPr>
      <w:r>
        <w:fldChar w:fldCharType="begin"/>
      </w:r>
      <w:r>
        <w:instrText xml:space="preserve"> HYPERLINK \l "_Toc44333989" </w:instrText>
      </w:r>
      <w:r>
        <w:fldChar w:fldCharType="separate"/>
      </w:r>
      <w:r>
        <w:rPr>
          <w:rStyle w:val="12"/>
          <w:rFonts w:hint="eastAsia" w:ascii="宋体" w:hAnsi="宋体" w:eastAsia="宋体" w:cs="Times New Roman"/>
          <w:sz w:val="32"/>
          <w:szCs w:val="32"/>
        </w:rPr>
        <w:t>（一）加强组织保障</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_Toc44333989 \h </w:instrText>
      </w:r>
      <w:r>
        <w:rPr>
          <w:rFonts w:ascii="宋体" w:hAnsi="宋体" w:eastAsia="宋体"/>
          <w:sz w:val="32"/>
          <w:szCs w:val="32"/>
        </w:rPr>
        <w:fldChar w:fldCharType="separate"/>
      </w:r>
      <w:r>
        <w:rPr>
          <w:rFonts w:ascii="宋体" w:hAnsi="宋体" w:eastAsia="宋体"/>
          <w:sz w:val="32"/>
          <w:szCs w:val="32"/>
        </w:rPr>
        <w:t>19</w:t>
      </w:r>
      <w:r>
        <w:rPr>
          <w:rFonts w:ascii="宋体" w:hAnsi="宋体" w:eastAsia="宋体"/>
          <w:sz w:val="32"/>
          <w:szCs w:val="32"/>
        </w:rPr>
        <w:fldChar w:fldCharType="end"/>
      </w:r>
      <w:r>
        <w:rPr>
          <w:rFonts w:ascii="宋体" w:hAnsi="宋体" w:eastAsia="宋体"/>
          <w:sz w:val="32"/>
          <w:szCs w:val="32"/>
        </w:rPr>
        <w:fldChar w:fldCharType="end"/>
      </w:r>
    </w:p>
    <w:p>
      <w:pPr>
        <w:pStyle w:val="8"/>
        <w:tabs>
          <w:tab w:val="right" w:leader="dot" w:pos="8296"/>
        </w:tabs>
        <w:rPr>
          <w:rFonts w:ascii="宋体" w:hAnsi="宋体" w:eastAsia="宋体"/>
          <w:sz w:val="32"/>
          <w:szCs w:val="32"/>
        </w:rPr>
      </w:pPr>
      <w:r>
        <w:fldChar w:fldCharType="begin"/>
      </w:r>
      <w:r>
        <w:instrText xml:space="preserve"> HYPERLINK \l "_Toc44333990" </w:instrText>
      </w:r>
      <w:r>
        <w:fldChar w:fldCharType="separate"/>
      </w:r>
      <w:r>
        <w:rPr>
          <w:rStyle w:val="12"/>
          <w:rFonts w:hint="eastAsia" w:ascii="宋体" w:hAnsi="宋体" w:eastAsia="宋体" w:cs="Times New Roman"/>
          <w:sz w:val="32"/>
          <w:szCs w:val="32"/>
        </w:rPr>
        <w:t>（二）强化政策供给</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_Toc44333990 \h </w:instrText>
      </w:r>
      <w:r>
        <w:rPr>
          <w:rFonts w:ascii="宋体" w:hAnsi="宋体" w:eastAsia="宋体"/>
          <w:sz w:val="32"/>
          <w:szCs w:val="32"/>
        </w:rPr>
        <w:fldChar w:fldCharType="separate"/>
      </w:r>
      <w:r>
        <w:rPr>
          <w:rFonts w:ascii="宋体" w:hAnsi="宋体" w:eastAsia="宋体"/>
          <w:sz w:val="32"/>
          <w:szCs w:val="32"/>
        </w:rPr>
        <w:t>19</w:t>
      </w:r>
      <w:r>
        <w:rPr>
          <w:rFonts w:ascii="宋体" w:hAnsi="宋体" w:eastAsia="宋体"/>
          <w:sz w:val="32"/>
          <w:szCs w:val="32"/>
        </w:rPr>
        <w:fldChar w:fldCharType="end"/>
      </w:r>
      <w:r>
        <w:rPr>
          <w:rFonts w:ascii="宋体" w:hAnsi="宋体" w:eastAsia="宋体"/>
          <w:sz w:val="32"/>
          <w:szCs w:val="32"/>
        </w:rPr>
        <w:fldChar w:fldCharType="end"/>
      </w:r>
    </w:p>
    <w:p>
      <w:pPr>
        <w:pStyle w:val="8"/>
        <w:tabs>
          <w:tab w:val="right" w:leader="dot" w:pos="8296"/>
        </w:tabs>
        <w:rPr>
          <w:rFonts w:ascii="宋体" w:hAnsi="宋体" w:eastAsia="宋体"/>
          <w:sz w:val="32"/>
          <w:szCs w:val="32"/>
        </w:rPr>
      </w:pPr>
      <w:r>
        <w:fldChar w:fldCharType="begin"/>
      </w:r>
      <w:r>
        <w:instrText xml:space="preserve"> HYPERLINK \l "_Toc44333991" </w:instrText>
      </w:r>
      <w:r>
        <w:fldChar w:fldCharType="separate"/>
      </w:r>
      <w:r>
        <w:rPr>
          <w:rStyle w:val="12"/>
          <w:rFonts w:hint="eastAsia" w:ascii="宋体" w:hAnsi="宋体" w:eastAsia="宋体" w:cs="Times New Roman"/>
          <w:sz w:val="32"/>
          <w:szCs w:val="32"/>
        </w:rPr>
        <w:t>（三）加大要素支撑</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_Toc44333991 \h </w:instrText>
      </w:r>
      <w:r>
        <w:rPr>
          <w:rFonts w:ascii="宋体" w:hAnsi="宋体" w:eastAsia="宋体"/>
          <w:sz w:val="32"/>
          <w:szCs w:val="32"/>
        </w:rPr>
        <w:fldChar w:fldCharType="separate"/>
      </w:r>
      <w:r>
        <w:rPr>
          <w:rFonts w:ascii="宋体" w:hAnsi="宋体" w:eastAsia="宋体"/>
          <w:sz w:val="32"/>
          <w:szCs w:val="32"/>
        </w:rPr>
        <w:t>20</w:t>
      </w:r>
      <w:r>
        <w:rPr>
          <w:rFonts w:ascii="宋体" w:hAnsi="宋体" w:eastAsia="宋体"/>
          <w:sz w:val="32"/>
          <w:szCs w:val="32"/>
        </w:rPr>
        <w:fldChar w:fldCharType="end"/>
      </w:r>
      <w:r>
        <w:rPr>
          <w:rFonts w:ascii="宋体" w:hAnsi="宋体" w:eastAsia="宋体"/>
          <w:sz w:val="32"/>
          <w:szCs w:val="32"/>
        </w:rPr>
        <w:fldChar w:fldCharType="end"/>
      </w:r>
    </w:p>
    <w:p>
      <w:pPr>
        <w:pStyle w:val="8"/>
        <w:tabs>
          <w:tab w:val="right" w:leader="dot" w:pos="8296"/>
        </w:tabs>
      </w:pPr>
      <w:r>
        <w:fldChar w:fldCharType="begin"/>
      </w:r>
      <w:r>
        <w:instrText xml:space="preserve"> HYPERLINK \l "_Toc44333992" </w:instrText>
      </w:r>
      <w:r>
        <w:fldChar w:fldCharType="separate"/>
      </w:r>
      <w:r>
        <w:rPr>
          <w:rStyle w:val="12"/>
          <w:rFonts w:hint="eastAsia" w:ascii="宋体" w:hAnsi="宋体" w:eastAsia="宋体" w:cs="Times New Roman"/>
          <w:sz w:val="32"/>
          <w:szCs w:val="32"/>
        </w:rPr>
        <w:t>（四）优化营商环境</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_Toc44333992 \h </w:instrText>
      </w:r>
      <w:r>
        <w:rPr>
          <w:rFonts w:ascii="宋体" w:hAnsi="宋体" w:eastAsia="宋体"/>
          <w:sz w:val="32"/>
          <w:szCs w:val="32"/>
        </w:rPr>
        <w:fldChar w:fldCharType="separate"/>
      </w:r>
      <w:r>
        <w:rPr>
          <w:rFonts w:ascii="宋体" w:hAnsi="宋体" w:eastAsia="宋体"/>
          <w:sz w:val="32"/>
          <w:szCs w:val="32"/>
        </w:rPr>
        <w:t>20</w:t>
      </w:r>
      <w:r>
        <w:rPr>
          <w:rFonts w:ascii="宋体" w:hAnsi="宋体" w:eastAsia="宋体"/>
          <w:sz w:val="32"/>
          <w:szCs w:val="32"/>
        </w:rPr>
        <w:fldChar w:fldCharType="end"/>
      </w:r>
      <w:r>
        <w:rPr>
          <w:rFonts w:ascii="宋体" w:hAnsi="宋体" w:eastAsia="宋体"/>
          <w:sz w:val="32"/>
          <w:szCs w:val="32"/>
        </w:rPr>
        <w:fldChar w:fldCharType="end"/>
      </w:r>
    </w:p>
    <w:p>
      <w:pPr>
        <w:jc w:val="center"/>
        <w:rPr>
          <w:rFonts w:ascii="Times New Roman" w:hAnsi="Times New Roman" w:cs="Times New Roman"/>
          <w:b/>
          <w:sz w:val="32"/>
          <w:szCs w:val="32"/>
        </w:rPr>
      </w:pPr>
      <w:r>
        <w:rPr>
          <w:rFonts w:ascii="Times New Roman" w:hAnsi="Times New Roman" w:cs="Times New Roman"/>
          <w:b/>
          <w:sz w:val="32"/>
          <w:szCs w:val="32"/>
        </w:rPr>
        <w:fldChar w:fldCharType="end"/>
      </w:r>
    </w:p>
    <w:p>
      <w:pPr>
        <w:jc w:val="center"/>
        <w:rPr>
          <w:rFonts w:ascii="Times New Roman" w:hAnsi="Times New Roman" w:cs="Times New Roman"/>
          <w:b/>
          <w:sz w:val="32"/>
          <w:szCs w:val="32"/>
        </w:rPr>
        <w:sectPr>
          <w:footerReference r:id="rId3" w:type="default"/>
          <w:pgSz w:w="11906" w:h="16838"/>
          <w:pgMar w:top="1440" w:right="1800" w:bottom="1440" w:left="1800" w:header="851" w:footer="992" w:gutter="0"/>
          <w:cols w:space="425" w:num="1"/>
          <w:docGrid w:type="lines" w:linePitch="312" w:charSpace="0"/>
        </w:sectPr>
      </w:pPr>
    </w:p>
    <w:p>
      <w:pPr>
        <w:ind w:firstLine="640" w:firstLineChars="200"/>
        <w:rPr>
          <w:rFonts w:ascii="Times New Roman" w:hAnsi="Times New Roman" w:cs="Times New Roman"/>
          <w:sz w:val="32"/>
          <w:szCs w:val="32"/>
        </w:rPr>
      </w:pPr>
      <w:r>
        <w:rPr>
          <w:rFonts w:ascii="Times New Roman" w:hAnsi="Times New Roman" w:cs="Times New Roman"/>
          <w:sz w:val="32"/>
          <w:szCs w:val="32"/>
        </w:rPr>
        <w:t>为贯彻落实省委省政府打造全球先进制造业基地和台州市委市政府建设具有国际影响力制造之都的战略部署，推进产业转型升级，推动产业迈向中高端，实现我区制造业高质量发展，特制定本行动计划。</w:t>
      </w:r>
    </w:p>
    <w:p>
      <w:pPr>
        <w:ind w:firstLine="640" w:firstLineChars="200"/>
        <w:jc w:val="left"/>
        <w:outlineLvl w:val="0"/>
        <w:rPr>
          <w:rFonts w:ascii="黑体" w:hAnsi="黑体" w:eastAsia="黑体" w:cs="Times New Roman"/>
          <w:sz w:val="32"/>
          <w:szCs w:val="32"/>
        </w:rPr>
      </w:pPr>
      <w:bookmarkStart w:id="1" w:name="_Toc44333969"/>
      <w:r>
        <w:rPr>
          <w:rFonts w:ascii="黑体" w:hAnsi="黑体" w:eastAsia="黑体" w:cs="Times New Roman"/>
          <w:sz w:val="32"/>
          <w:szCs w:val="32"/>
        </w:rPr>
        <w:t>一、总体要求</w:t>
      </w:r>
      <w:bookmarkEnd w:id="1"/>
    </w:p>
    <w:p>
      <w:pPr>
        <w:ind w:firstLine="640" w:firstLineChars="200"/>
        <w:jc w:val="left"/>
        <w:outlineLvl w:val="1"/>
        <w:rPr>
          <w:rFonts w:ascii="黑体" w:hAnsi="黑体" w:eastAsia="黑体" w:cs="Times New Roman"/>
          <w:sz w:val="32"/>
          <w:szCs w:val="32"/>
        </w:rPr>
      </w:pPr>
      <w:bookmarkStart w:id="2" w:name="_Toc44333970"/>
      <w:r>
        <w:rPr>
          <w:rFonts w:ascii="黑体" w:hAnsi="黑体" w:eastAsia="黑体" w:cs="Times New Roman"/>
          <w:sz w:val="32"/>
          <w:szCs w:val="32"/>
        </w:rPr>
        <w:t>（一）指导思想</w:t>
      </w:r>
      <w:bookmarkEnd w:id="2"/>
    </w:p>
    <w:p>
      <w:pPr>
        <w:ind w:firstLine="640" w:firstLineChars="200"/>
        <w:rPr>
          <w:rFonts w:ascii="Times New Roman" w:hAnsi="Times New Roman" w:cs="Times New Roman"/>
          <w:sz w:val="32"/>
          <w:szCs w:val="32"/>
        </w:rPr>
      </w:pPr>
      <w:r>
        <w:rPr>
          <w:rFonts w:ascii="Times New Roman" w:hAnsi="Times New Roman" w:cs="Times New Roman"/>
          <w:sz w:val="32"/>
          <w:szCs w:val="32"/>
        </w:rPr>
        <w:t>以习近平新时代中国特色社会主义思想为统领，深入贯彻落实习近平总书记在浙江考察时的重要讲话精神和全省制造业高质量发展大会精神，以供给侧改革为主线，围绕高质量、竞争力、现代化，进一步聚焦产业发展重点，实施八大专项行动，大力推进制造业质量变革、效率变革、动力变革，全力塑造产业竞争新优势，为全市建设具有国际影响力的制造之都和全省打造全球先进制造业基地提供“椒江方案”、贡献椒江力量。</w:t>
      </w:r>
    </w:p>
    <w:p>
      <w:pPr>
        <w:ind w:firstLine="640" w:firstLineChars="200"/>
        <w:jc w:val="left"/>
        <w:outlineLvl w:val="1"/>
        <w:rPr>
          <w:rFonts w:ascii="黑体" w:hAnsi="黑体" w:eastAsia="黑体" w:cs="Times New Roman"/>
          <w:sz w:val="32"/>
          <w:szCs w:val="32"/>
        </w:rPr>
      </w:pPr>
      <w:bookmarkStart w:id="3" w:name="_Toc44333971"/>
      <w:r>
        <w:rPr>
          <w:rFonts w:ascii="黑体" w:hAnsi="黑体" w:eastAsia="黑体" w:cs="Times New Roman"/>
          <w:sz w:val="32"/>
          <w:szCs w:val="32"/>
        </w:rPr>
        <w:t>（二）发展路径</w:t>
      </w:r>
      <w:bookmarkEnd w:id="3"/>
    </w:p>
    <w:p>
      <w:pPr>
        <w:ind w:firstLine="643" w:firstLineChars="200"/>
        <w:rPr>
          <w:rFonts w:ascii="Times New Roman" w:hAnsi="Times New Roman" w:cs="Times New Roman"/>
          <w:sz w:val="32"/>
          <w:szCs w:val="32"/>
        </w:rPr>
      </w:pPr>
      <w:r>
        <w:rPr>
          <w:rFonts w:ascii="Times New Roman" w:hAnsi="Times New Roman" w:cs="Times New Roman"/>
          <w:b/>
          <w:sz w:val="32"/>
          <w:szCs w:val="32"/>
        </w:rPr>
        <w:t>创新驱动。</w:t>
      </w:r>
      <w:r>
        <w:rPr>
          <w:rFonts w:ascii="Times New Roman" w:hAnsi="Times New Roman" w:eastAsia="宋体" w:cs="Times New Roman"/>
          <w:sz w:val="32"/>
          <w:szCs w:val="32"/>
        </w:rPr>
        <w:t>深入实施科技新长征行动，加快推</w:t>
      </w:r>
      <w:bookmarkStart w:id="35" w:name="_GoBack"/>
      <w:bookmarkEnd w:id="35"/>
      <w:r>
        <w:rPr>
          <w:rFonts w:ascii="Times New Roman" w:hAnsi="Times New Roman" w:eastAsia="宋体" w:cs="Times New Roman"/>
          <w:sz w:val="32"/>
          <w:szCs w:val="32"/>
        </w:rPr>
        <w:t>进创新主体培育、创新人才集聚、创新平台提升、创新生态优化，力争在创新成果转化、产业创新方面取得突破，</w:t>
      </w:r>
      <w:r>
        <w:rPr>
          <w:rFonts w:ascii="Times New Roman" w:hAnsi="Times New Roman" w:cs="Times New Roman"/>
          <w:sz w:val="32"/>
          <w:szCs w:val="32"/>
        </w:rPr>
        <w:t>大力发展新技术、新产品、新工艺，</w:t>
      </w:r>
      <w:r>
        <w:rPr>
          <w:rFonts w:ascii="Times New Roman" w:hAnsi="Times New Roman" w:eastAsia="宋体" w:cs="Times New Roman"/>
          <w:sz w:val="32"/>
          <w:szCs w:val="32"/>
        </w:rPr>
        <w:t>以创新驱动产业</w:t>
      </w:r>
      <w:r>
        <w:rPr>
          <w:rFonts w:ascii="Times New Roman" w:hAnsi="Times New Roman" w:cs="Times New Roman"/>
          <w:sz w:val="32"/>
          <w:szCs w:val="32"/>
        </w:rPr>
        <w:t>高质量</w:t>
      </w:r>
      <w:r>
        <w:rPr>
          <w:rFonts w:ascii="Times New Roman" w:hAnsi="Times New Roman" w:eastAsia="宋体" w:cs="Times New Roman"/>
          <w:sz w:val="32"/>
          <w:szCs w:val="32"/>
        </w:rPr>
        <w:t>发展。</w:t>
      </w:r>
    </w:p>
    <w:p>
      <w:pPr>
        <w:ind w:firstLine="643" w:firstLineChars="200"/>
        <w:rPr>
          <w:rFonts w:ascii="Times New Roman" w:hAnsi="Times New Roman" w:cs="Times New Roman"/>
          <w:sz w:val="32"/>
          <w:szCs w:val="32"/>
        </w:rPr>
      </w:pPr>
      <w:r>
        <w:rPr>
          <w:rFonts w:ascii="Times New Roman" w:cs="Times New Roman" w:hAnsiTheme="minorEastAsia"/>
          <w:b/>
          <w:sz w:val="32"/>
          <w:szCs w:val="32"/>
        </w:rPr>
        <w:t>高端引领。</w:t>
      </w:r>
      <w:r>
        <w:rPr>
          <w:rFonts w:ascii="Times New Roman" w:hAnsi="宋体" w:eastAsia="宋体" w:cs="Times New Roman"/>
          <w:sz w:val="32"/>
          <w:szCs w:val="32"/>
        </w:rPr>
        <w:t>按照产业发展趋势、产业升级导向和补齐产业发展短板的要求，始终坚持价值链高端、技术高端、产品高端、标准规范高端的原则，着眼高端产业培育、高端产品制造、高端人才引进、高端技术研发</w:t>
      </w:r>
      <w:r>
        <w:rPr>
          <w:rFonts w:ascii="Times New Roman" w:cs="Times New Roman" w:hAnsiTheme="minorEastAsia"/>
          <w:sz w:val="32"/>
          <w:szCs w:val="32"/>
        </w:rPr>
        <w:t>，以高端引领高质</w:t>
      </w:r>
      <w:r>
        <w:rPr>
          <w:rFonts w:ascii="Times New Roman" w:hAnsi="宋体" w:eastAsia="宋体" w:cs="Times New Roman"/>
          <w:sz w:val="32"/>
          <w:szCs w:val="32"/>
        </w:rPr>
        <w:t>。</w:t>
      </w:r>
    </w:p>
    <w:p>
      <w:pPr>
        <w:ind w:firstLine="643" w:firstLineChars="200"/>
        <w:rPr>
          <w:rFonts w:ascii="Times New Roman" w:hAnsi="Times New Roman" w:cs="Times New Roman"/>
          <w:sz w:val="32"/>
          <w:szCs w:val="32"/>
        </w:rPr>
      </w:pPr>
      <w:r>
        <w:rPr>
          <w:rFonts w:ascii="Times New Roman" w:cs="Times New Roman" w:hAnsiTheme="minorEastAsia"/>
          <w:b/>
          <w:sz w:val="32"/>
          <w:szCs w:val="32"/>
        </w:rPr>
        <w:t>跨界融合。</w:t>
      </w:r>
      <w:r>
        <w:rPr>
          <w:rFonts w:ascii="Times New Roman" w:cs="Times New Roman" w:hAnsiTheme="minorEastAsia"/>
          <w:sz w:val="32"/>
          <w:szCs w:val="32"/>
        </w:rPr>
        <w:t>积极推进工业信息化、智能化、服务化发展，实施</w:t>
      </w:r>
      <w:r>
        <w:rPr>
          <w:rFonts w:ascii="Times New Roman" w:hAnsi="Times New Roman" w:cs="Times New Roman"/>
          <w:sz w:val="32"/>
          <w:szCs w:val="32"/>
        </w:rPr>
        <w:t>“</w:t>
      </w:r>
      <w:r>
        <w:rPr>
          <w:rFonts w:ascii="Times New Roman" w:cs="Times New Roman" w:hAnsiTheme="minorEastAsia"/>
          <w:sz w:val="32"/>
          <w:szCs w:val="32"/>
        </w:rPr>
        <w:t>互联网</w:t>
      </w:r>
      <w:r>
        <w:rPr>
          <w:rFonts w:ascii="Times New Roman" w:hAnsi="Times New Roman" w:cs="Times New Roman"/>
          <w:sz w:val="32"/>
          <w:szCs w:val="32"/>
        </w:rPr>
        <w:t>+”</w:t>
      </w:r>
      <w:r>
        <w:rPr>
          <w:rFonts w:ascii="Times New Roman" w:cs="Times New Roman" w:hAnsiTheme="minorEastAsia"/>
          <w:sz w:val="32"/>
          <w:szCs w:val="32"/>
        </w:rPr>
        <w:t>专项行动，努力使新一代信息技术应用渗透到制造业的各个环节，推动制造与服务深度融合，不断催生新产业、新业态、新模式，实现产业转型升级。</w:t>
      </w:r>
    </w:p>
    <w:p>
      <w:pPr>
        <w:ind w:firstLine="643" w:firstLineChars="200"/>
        <w:rPr>
          <w:rFonts w:ascii="Times New Roman" w:hAnsi="Times New Roman" w:cs="Times New Roman"/>
          <w:sz w:val="32"/>
          <w:szCs w:val="32"/>
        </w:rPr>
      </w:pPr>
      <w:r>
        <w:rPr>
          <w:rFonts w:ascii="Times New Roman" w:cs="Times New Roman" w:hAnsiTheme="minorEastAsia"/>
          <w:b/>
          <w:sz w:val="32"/>
          <w:szCs w:val="32"/>
        </w:rPr>
        <w:t>集聚集群。</w:t>
      </w:r>
      <w:r>
        <w:rPr>
          <w:rFonts w:ascii="Times New Roman" w:hAnsi="宋体" w:eastAsia="宋体" w:cs="Times New Roman"/>
          <w:sz w:val="32"/>
          <w:szCs w:val="32"/>
        </w:rPr>
        <w:t>根据产业发展内在规律，突出重点突破和整体推进相结合，支持集聚集约集群发展，</w:t>
      </w:r>
      <w:r>
        <w:rPr>
          <w:rFonts w:ascii="Times New Roman" w:cs="Times New Roman" w:hAnsiTheme="minorEastAsia"/>
          <w:sz w:val="32"/>
          <w:szCs w:val="32"/>
        </w:rPr>
        <w:t>实施精准招商，</w:t>
      </w:r>
      <w:r>
        <w:rPr>
          <w:rFonts w:ascii="Times New Roman" w:hAnsi="宋体" w:eastAsia="宋体" w:cs="Times New Roman"/>
          <w:sz w:val="32"/>
          <w:szCs w:val="32"/>
        </w:rPr>
        <w:t>加快重点产业关键环节企业引进，同时提高产业配套能力，延长产业链，提升价值链，推进产业</w:t>
      </w:r>
      <w:r>
        <w:rPr>
          <w:rFonts w:ascii="Times New Roman" w:cs="Times New Roman" w:hAnsiTheme="minorEastAsia"/>
          <w:sz w:val="32"/>
          <w:szCs w:val="32"/>
        </w:rPr>
        <w:t>集聚</w:t>
      </w:r>
      <w:r>
        <w:rPr>
          <w:rFonts w:ascii="Times New Roman" w:hAnsi="宋体" w:eastAsia="宋体" w:cs="Times New Roman"/>
          <w:sz w:val="32"/>
          <w:szCs w:val="32"/>
        </w:rPr>
        <w:t>集群发展。</w:t>
      </w:r>
    </w:p>
    <w:p>
      <w:pPr>
        <w:ind w:firstLine="640" w:firstLineChars="200"/>
        <w:jc w:val="left"/>
        <w:outlineLvl w:val="1"/>
        <w:rPr>
          <w:rFonts w:ascii="黑体" w:hAnsi="黑体" w:eastAsia="黑体" w:cs="Times New Roman"/>
          <w:sz w:val="32"/>
          <w:szCs w:val="32"/>
        </w:rPr>
      </w:pPr>
      <w:bookmarkStart w:id="4" w:name="_Toc44333972"/>
      <w:r>
        <w:rPr>
          <w:rFonts w:ascii="黑体" w:hAnsi="黑体" w:eastAsia="黑体" w:cs="Times New Roman"/>
          <w:sz w:val="32"/>
          <w:szCs w:val="32"/>
        </w:rPr>
        <w:t>（三）主要目标</w:t>
      </w:r>
      <w:bookmarkEnd w:id="4"/>
    </w:p>
    <w:p>
      <w:pPr>
        <w:ind w:firstLine="640" w:firstLineChars="200"/>
        <w:jc w:val="left"/>
        <w:rPr>
          <w:rFonts w:ascii="Times New Roman" w:hAnsi="Times New Roman" w:cs="Times New Roman"/>
          <w:sz w:val="32"/>
          <w:szCs w:val="32"/>
        </w:rPr>
      </w:pPr>
      <w:r>
        <w:rPr>
          <w:rFonts w:ascii="Times New Roman" w:hAnsi="Times New Roman" w:cs="Times New Roman"/>
          <w:sz w:val="32"/>
          <w:szCs w:val="32"/>
        </w:rPr>
        <w:t>到2022年，在规模</w:t>
      </w:r>
      <w:r>
        <w:rPr>
          <w:rFonts w:hint="eastAsia" w:ascii="Times New Roman" w:hAnsi="Times New Roman" w:cs="Times New Roman"/>
          <w:sz w:val="32"/>
          <w:szCs w:val="32"/>
        </w:rPr>
        <w:t>提升</w:t>
      </w:r>
      <w:r>
        <w:rPr>
          <w:rFonts w:ascii="Times New Roman" w:hAnsi="Times New Roman" w:cs="Times New Roman"/>
          <w:sz w:val="32"/>
          <w:szCs w:val="32"/>
        </w:rPr>
        <w:t>、结构优化、创新驱动、绿色发展方面实现有效跨越，制造业提速提质发展，现代产业体系基本形成，成为全市制造业高质量发展标杆区。</w:t>
      </w:r>
    </w:p>
    <w:p>
      <w:pPr>
        <w:ind w:firstLine="643" w:firstLineChars="200"/>
        <w:rPr>
          <w:rFonts w:ascii="Times New Roman" w:hAnsi="Times New Roman" w:cs="Times New Roman"/>
          <w:sz w:val="32"/>
          <w:szCs w:val="32"/>
        </w:rPr>
      </w:pPr>
      <w:r>
        <w:rPr>
          <w:rFonts w:ascii="Times New Roman" w:hAnsi="Times New Roman" w:cs="Times New Roman"/>
          <w:b/>
          <w:sz w:val="32"/>
          <w:szCs w:val="32"/>
        </w:rPr>
        <w:t>规模实力显著增强。</w:t>
      </w:r>
      <w:r>
        <w:rPr>
          <w:rFonts w:ascii="Times New Roman" w:hAnsi="Times New Roman" w:cs="Times New Roman"/>
          <w:sz w:val="32"/>
          <w:szCs w:val="32"/>
        </w:rPr>
        <w:t>到202</w:t>
      </w:r>
      <w:r>
        <w:rPr>
          <w:rFonts w:hint="eastAsia" w:ascii="Times New Roman" w:hAnsi="Times New Roman" w:cs="Times New Roman"/>
          <w:sz w:val="32"/>
          <w:szCs w:val="32"/>
        </w:rPr>
        <w:t>2</w:t>
      </w:r>
      <w:r>
        <w:rPr>
          <w:rFonts w:ascii="Times New Roman" w:hAnsi="Times New Roman" w:cs="Times New Roman"/>
          <w:sz w:val="32"/>
          <w:szCs w:val="32"/>
        </w:rPr>
        <w:t>年，规上工业总产值达700亿元，规上工业增加值达220亿元，年均增速达6.5%以上，制造业增加值占地区生产总值的比重40%以上。</w:t>
      </w:r>
    </w:p>
    <w:p>
      <w:pPr>
        <w:ind w:firstLine="643" w:firstLineChars="200"/>
        <w:rPr>
          <w:rFonts w:ascii="Times New Roman" w:hAnsi="Times New Roman" w:cs="Times New Roman"/>
          <w:sz w:val="32"/>
          <w:szCs w:val="32"/>
        </w:rPr>
      </w:pPr>
      <w:r>
        <w:rPr>
          <w:rFonts w:ascii="Times New Roman" w:hAnsi="Times New Roman" w:cs="Times New Roman"/>
          <w:b/>
          <w:sz w:val="32"/>
          <w:szCs w:val="32"/>
        </w:rPr>
        <w:t>产业结构显著优化。</w:t>
      </w:r>
      <w:r>
        <w:rPr>
          <w:rFonts w:ascii="Times New Roman" w:hAnsi="Times New Roman" w:cs="Times New Roman"/>
          <w:sz w:val="32"/>
          <w:szCs w:val="32"/>
        </w:rPr>
        <w:t>到202</w:t>
      </w:r>
      <w:r>
        <w:rPr>
          <w:rFonts w:hint="eastAsia" w:ascii="Times New Roman" w:hAnsi="Times New Roman" w:cs="Times New Roman"/>
          <w:sz w:val="32"/>
          <w:szCs w:val="32"/>
        </w:rPr>
        <w:t>2</w:t>
      </w:r>
      <w:r>
        <w:rPr>
          <w:rFonts w:ascii="Times New Roman" w:hAnsi="Times New Roman" w:cs="Times New Roman"/>
          <w:sz w:val="32"/>
          <w:szCs w:val="32"/>
        </w:rPr>
        <w:t>年，规上数字经济核心产业增加值达28亿元以上，“两化”融合发展指数、信息化发展指数分别达到95以上、110以上；战略性新兴产业、高新技术产业增加值</w:t>
      </w:r>
      <w:r>
        <w:rPr>
          <w:rFonts w:hint="eastAsia" w:ascii="Times New Roman" w:hAnsi="Times New Roman" w:cs="Times New Roman"/>
          <w:sz w:val="32"/>
          <w:szCs w:val="32"/>
        </w:rPr>
        <w:t>占比</w:t>
      </w:r>
      <w:r>
        <w:rPr>
          <w:rFonts w:ascii="Times New Roman" w:hAnsi="Times New Roman" w:cs="Times New Roman"/>
          <w:sz w:val="32"/>
          <w:szCs w:val="32"/>
        </w:rPr>
        <w:t>分别达到30%和55%以上。</w:t>
      </w:r>
    </w:p>
    <w:p>
      <w:pPr>
        <w:ind w:firstLine="643" w:firstLineChars="200"/>
        <w:rPr>
          <w:rFonts w:ascii="Times New Roman" w:hAnsi="Times New Roman" w:cs="Times New Roman"/>
          <w:sz w:val="32"/>
          <w:szCs w:val="32"/>
        </w:rPr>
      </w:pPr>
      <w:r>
        <w:rPr>
          <w:rFonts w:ascii="Times New Roman" w:hAnsi="Times New Roman" w:cs="Times New Roman"/>
          <w:b/>
          <w:sz w:val="32"/>
          <w:szCs w:val="32"/>
        </w:rPr>
        <w:t>质量效益显著改善。</w:t>
      </w:r>
      <w:r>
        <w:rPr>
          <w:rFonts w:ascii="Times New Roman" w:hAnsi="Times New Roman" w:cs="Times New Roman"/>
          <w:sz w:val="32"/>
          <w:szCs w:val="32"/>
        </w:rPr>
        <w:t>到202</w:t>
      </w:r>
      <w:r>
        <w:rPr>
          <w:rFonts w:hint="eastAsia" w:ascii="Times New Roman" w:hAnsi="Times New Roman" w:cs="Times New Roman"/>
          <w:sz w:val="32"/>
          <w:szCs w:val="32"/>
        </w:rPr>
        <w:t>2</w:t>
      </w:r>
      <w:r>
        <w:rPr>
          <w:rFonts w:ascii="Times New Roman" w:hAnsi="Times New Roman" w:cs="Times New Roman"/>
          <w:sz w:val="32"/>
          <w:szCs w:val="32"/>
        </w:rPr>
        <w:t>年，规上工业增加值率达</w:t>
      </w:r>
      <w:r>
        <w:rPr>
          <w:rFonts w:hint="eastAsia" w:ascii="Times New Roman" w:hAnsi="Times New Roman" w:cs="Times New Roman"/>
          <w:sz w:val="32"/>
          <w:szCs w:val="32"/>
        </w:rPr>
        <w:t>30</w:t>
      </w:r>
      <w:r>
        <w:rPr>
          <w:rFonts w:ascii="Times New Roman" w:hAnsi="Times New Roman" w:cs="Times New Roman"/>
          <w:sz w:val="32"/>
          <w:szCs w:val="32"/>
        </w:rPr>
        <w:t>%左右，规上工业亩均税收达到35万元/亩以上，规上工业企业全员劳动生产率年均增长7%以上，单位工业增加值能耗</w:t>
      </w:r>
      <w:r>
        <w:rPr>
          <w:rFonts w:hint="eastAsia" w:ascii="Times New Roman" w:hAnsi="Times New Roman" w:cs="Times New Roman"/>
          <w:sz w:val="32"/>
          <w:szCs w:val="32"/>
        </w:rPr>
        <w:t>持续下降</w:t>
      </w:r>
      <w:r>
        <w:rPr>
          <w:rFonts w:ascii="Times New Roman" w:hAnsi="Times New Roman" w:cs="Times New Roman"/>
          <w:sz w:val="32"/>
          <w:szCs w:val="32"/>
        </w:rPr>
        <w:t>。</w:t>
      </w:r>
    </w:p>
    <w:p>
      <w:pPr>
        <w:ind w:firstLine="643" w:firstLineChars="200"/>
        <w:rPr>
          <w:rFonts w:ascii="Times New Roman" w:hAnsi="Times New Roman" w:cs="Times New Roman"/>
          <w:sz w:val="32"/>
          <w:szCs w:val="32"/>
        </w:rPr>
      </w:pPr>
      <w:r>
        <w:rPr>
          <w:rFonts w:ascii="Times New Roman" w:hAnsi="Times New Roman" w:cs="Times New Roman"/>
          <w:b/>
          <w:sz w:val="32"/>
          <w:szCs w:val="32"/>
        </w:rPr>
        <w:t>创新能力显著提升。</w:t>
      </w:r>
      <w:r>
        <w:rPr>
          <w:rFonts w:ascii="Times New Roman" w:hAnsi="Times New Roman" w:cs="Times New Roman"/>
          <w:sz w:val="32"/>
          <w:szCs w:val="32"/>
        </w:rPr>
        <w:t>到202</w:t>
      </w:r>
      <w:r>
        <w:rPr>
          <w:rFonts w:hint="eastAsia" w:ascii="Times New Roman" w:hAnsi="Times New Roman" w:cs="Times New Roman"/>
          <w:sz w:val="32"/>
          <w:szCs w:val="32"/>
        </w:rPr>
        <w:t>2</w:t>
      </w:r>
      <w:r>
        <w:rPr>
          <w:rFonts w:ascii="Times New Roman" w:hAnsi="Times New Roman" w:cs="Times New Roman"/>
          <w:sz w:val="32"/>
          <w:szCs w:val="32"/>
        </w:rPr>
        <w:t>年，全社会R&amp;D经费支出占GDP比重提</w:t>
      </w:r>
      <w:r>
        <w:rPr>
          <w:rFonts w:hint="eastAsia" w:ascii="Times New Roman" w:hAnsi="Times New Roman" w:cs="Times New Roman"/>
          <w:sz w:val="32"/>
          <w:szCs w:val="32"/>
        </w:rPr>
        <w:t>高</w:t>
      </w:r>
      <w:r>
        <w:rPr>
          <w:rFonts w:ascii="Times New Roman" w:hAnsi="Times New Roman" w:cs="Times New Roman"/>
          <w:sz w:val="32"/>
          <w:szCs w:val="32"/>
        </w:rPr>
        <w:t>到2.8%左右，国家级高新技术企业达100家以上，省级以上众创空间5个以上。</w:t>
      </w:r>
    </w:p>
    <w:p>
      <w:pPr>
        <w:ind w:firstLine="640" w:firstLineChars="200"/>
        <w:jc w:val="left"/>
        <w:outlineLvl w:val="0"/>
        <w:rPr>
          <w:rFonts w:ascii="黑体" w:hAnsi="黑体" w:eastAsia="黑体" w:cs="Times New Roman"/>
          <w:sz w:val="32"/>
          <w:szCs w:val="32"/>
        </w:rPr>
      </w:pPr>
      <w:bookmarkStart w:id="5" w:name="_Toc44333973"/>
      <w:r>
        <w:rPr>
          <w:rFonts w:ascii="黑体" w:hAnsi="黑体" w:eastAsia="黑体" w:cs="Times New Roman"/>
          <w:sz w:val="32"/>
          <w:szCs w:val="32"/>
        </w:rPr>
        <w:t>二、主要任务</w:t>
      </w:r>
      <w:bookmarkEnd w:id="5"/>
    </w:p>
    <w:p>
      <w:pPr>
        <w:ind w:firstLine="640" w:firstLineChars="200"/>
        <w:jc w:val="left"/>
        <w:outlineLvl w:val="1"/>
        <w:rPr>
          <w:rFonts w:ascii="黑体" w:hAnsi="黑体" w:eastAsia="黑体" w:cs="Times New Roman"/>
          <w:sz w:val="32"/>
          <w:szCs w:val="32"/>
        </w:rPr>
      </w:pPr>
      <w:bookmarkStart w:id="6" w:name="_Toc44333974"/>
      <w:r>
        <w:rPr>
          <w:rFonts w:ascii="黑体" w:hAnsi="黑体" w:eastAsia="黑体" w:cs="Times New Roman"/>
          <w:sz w:val="32"/>
          <w:szCs w:val="32"/>
        </w:rPr>
        <w:t>（一）产业集群打造行动</w:t>
      </w:r>
      <w:bookmarkEnd w:id="6"/>
    </w:p>
    <w:p>
      <w:pPr>
        <w:ind w:firstLine="643" w:firstLineChars="200"/>
        <w:rPr>
          <w:rFonts w:ascii="仿宋_GB2312" w:hAnsi="宋体" w:eastAsia="仿宋_GB2312" w:cs="仿宋_GB2312"/>
          <w:color w:val="000000" w:themeColor="text1"/>
          <w:sz w:val="32"/>
          <w:szCs w:val="32"/>
        </w:rPr>
      </w:pPr>
      <w:r>
        <w:rPr>
          <w:rFonts w:cs="Times New Roman" w:asciiTheme="minorEastAsia" w:hAnsiTheme="minorEastAsia"/>
          <w:b/>
          <w:sz w:val="32"/>
          <w:szCs w:val="32"/>
        </w:rPr>
        <w:t>聚焦“大而强”，打造</w:t>
      </w:r>
      <w:r>
        <w:rPr>
          <w:rFonts w:hint="eastAsia" w:cs="Times New Roman" w:asciiTheme="minorEastAsia" w:hAnsiTheme="minorEastAsia"/>
          <w:b/>
          <w:sz w:val="32"/>
          <w:szCs w:val="32"/>
        </w:rPr>
        <w:t>两大具有国内外影响力的</w:t>
      </w:r>
      <w:r>
        <w:rPr>
          <w:rFonts w:cs="Times New Roman" w:asciiTheme="minorEastAsia" w:hAnsiTheme="minorEastAsia"/>
          <w:b/>
          <w:sz w:val="32"/>
          <w:szCs w:val="32"/>
        </w:rPr>
        <w:t>产业集群</w:t>
      </w:r>
      <w:r>
        <w:rPr>
          <w:rFonts w:hint="eastAsia" w:cs="Times New Roman" w:asciiTheme="minorEastAsia" w:hAnsiTheme="minorEastAsia"/>
          <w:b/>
          <w:sz w:val="32"/>
          <w:szCs w:val="32"/>
        </w:rPr>
        <w:t>。</w:t>
      </w:r>
      <w:r>
        <w:rPr>
          <w:rFonts w:ascii="Times New Roman" w:hAnsi="Times New Roman" w:cs="Times New Roman"/>
          <w:sz w:val="32"/>
          <w:szCs w:val="32"/>
        </w:rPr>
        <w:t>针对</w:t>
      </w:r>
      <w:r>
        <w:rPr>
          <w:rFonts w:hint="eastAsia" w:ascii="Times New Roman" w:hAnsi="Times New Roman" w:cs="Times New Roman"/>
          <w:sz w:val="32"/>
          <w:szCs w:val="32"/>
        </w:rPr>
        <w:t>医药化工产业、缝制设备产业</w:t>
      </w:r>
      <w:r>
        <w:rPr>
          <w:rFonts w:ascii="Times New Roman" w:hAnsi="Times New Roman" w:cs="Times New Roman"/>
          <w:sz w:val="32"/>
          <w:szCs w:val="32"/>
        </w:rPr>
        <w:t>等</w:t>
      </w:r>
      <w:r>
        <w:rPr>
          <w:rFonts w:hint="eastAsia" w:ascii="Times New Roman" w:hAnsi="Times New Roman" w:cs="Times New Roman"/>
          <w:sz w:val="32"/>
          <w:szCs w:val="32"/>
        </w:rPr>
        <w:t>产业基础好、竞争力强的</w:t>
      </w:r>
      <w:r>
        <w:rPr>
          <w:rFonts w:ascii="Times New Roman" w:hAnsi="Times New Roman" w:cs="Times New Roman"/>
          <w:sz w:val="32"/>
          <w:szCs w:val="32"/>
        </w:rPr>
        <w:t>核心产业，</w:t>
      </w:r>
      <w:r>
        <w:rPr>
          <w:rFonts w:hint="eastAsia" w:ascii="Times New Roman" w:hAnsi="Times New Roman" w:cs="Times New Roman"/>
          <w:sz w:val="32"/>
          <w:szCs w:val="32"/>
        </w:rPr>
        <w:t>把握全球产业分工协作和产业链重构机遇，完善产业扶持政策，加大“建链、延链、补链”招商，重点引进以海正药业</w:t>
      </w:r>
      <w:r>
        <w:rPr>
          <w:rFonts w:ascii="Times New Roman" w:hAnsi="Times New Roman" w:cs="Times New Roman"/>
          <w:sz w:val="32"/>
          <w:szCs w:val="32"/>
        </w:rPr>
        <w:t>为龙头的</w:t>
      </w:r>
      <w:r>
        <w:rPr>
          <w:rFonts w:hint="eastAsia" w:ascii="Times New Roman" w:hAnsi="Times New Roman" w:cs="Times New Roman"/>
          <w:sz w:val="32"/>
          <w:szCs w:val="32"/>
        </w:rPr>
        <w:t>医化</w:t>
      </w:r>
      <w:r>
        <w:rPr>
          <w:rFonts w:ascii="Times New Roman" w:hAnsi="Times New Roman" w:cs="Times New Roman"/>
          <w:sz w:val="32"/>
          <w:szCs w:val="32"/>
        </w:rPr>
        <w:t>产业链</w:t>
      </w:r>
      <w:r>
        <w:rPr>
          <w:rFonts w:hint="eastAsia" w:ascii="Times New Roman" w:hAnsi="Times New Roman" w:cs="Times New Roman"/>
          <w:sz w:val="32"/>
          <w:szCs w:val="32"/>
        </w:rPr>
        <w:t>、</w:t>
      </w:r>
      <w:r>
        <w:rPr>
          <w:rFonts w:ascii="Times New Roman" w:hAnsi="Times New Roman" w:cs="Times New Roman"/>
          <w:sz w:val="32"/>
          <w:szCs w:val="32"/>
        </w:rPr>
        <w:t>以杰克股份为龙头的智能缝制设备产业链</w:t>
      </w:r>
      <w:r>
        <w:rPr>
          <w:rFonts w:hint="eastAsia" w:ascii="Times New Roman" w:hAnsi="Times New Roman" w:cs="Times New Roman"/>
          <w:sz w:val="32"/>
          <w:szCs w:val="32"/>
        </w:rPr>
        <w:t>上下游，</w:t>
      </w:r>
      <w:r>
        <w:rPr>
          <w:rFonts w:ascii="Times New Roman" w:hAnsi="Times New Roman" w:cs="Times New Roman"/>
          <w:sz w:val="32"/>
          <w:szCs w:val="32"/>
        </w:rPr>
        <w:t>支持企业自主创新、并购重组</w:t>
      </w:r>
      <w:r>
        <w:rPr>
          <w:rFonts w:hint="eastAsia" w:ascii="Times New Roman" w:hAnsi="Times New Roman" w:cs="Times New Roman"/>
          <w:sz w:val="32"/>
          <w:szCs w:val="32"/>
        </w:rPr>
        <w:t>，</w:t>
      </w:r>
      <w:r>
        <w:rPr>
          <w:rFonts w:ascii="Times New Roman" w:hAnsi="Times New Roman" w:cs="Times New Roman"/>
          <w:sz w:val="32"/>
          <w:szCs w:val="32"/>
        </w:rPr>
        <w:t>推动产业向规模化、专业化、高端化方向发展，进一步做大育强，打造</w:t>
      </w:r>
      <w:r>
        <w:rPr>
          <w:rFonts w:hint="eastAsia" w:ascii="Times New Roman" w:hAnsi="Times New Roman" w:cs="Times New Roman"/>
          <w:sz w:val="32"/>
          <w:szCs w:val="32"/>
        </w:rPr>
        <w:t>具有国内外影响力的产业集群</w:t>
      </w:r>
      <w:r>
        <w:rPr>
          <w:rFonts w:ascii="Times New Roman" w:hAnsi="Times New Roman" w:cs="Times New Roman"/>
          <w:sz w:val="32"/>
          <w:szCs w:val="32"/>
        </w:rPr>
        <w:t>。</w:t>
      </w: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shd w:val="clear" w:color="auto" w:fill="B6DDE8" w:themeFill="accent5" w:themeFillTint="66"/>
          </w:tcPr>
          <w:p>
            <w:pPr>
              <w:rPr>
                <w:rFonts w:ascii="Times New Roman" w:cs="Times New Roman"/>
                <w:b/>
                <w:sz w:val="28"/>
                <w:szCs w:val="28"/>
              </w:rPr>
            </w:pPr>
            <w:r>
              <w:rPr>
                <w:rFonts w:hint="eastAsia" w:ascii="Times New Roman" w:cs="Times New Roman"/>
                <w:b/>
                <w:sz w:val="28"/>
                <w:szCs w:val="28"/>
              </w:rPr>
              <w:t>专栏1：椒江区具有国内外影响力的产业集群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spacing w:line="400" w:lineRule="exact"/>
              <w:jc w:val="left"/>
              <w:outlineLvl w:val="0"/>
              <w:rPr>
                <w:rFonts w:ascii="仿宋_GB2312" w:hAnsi="宋体" w:eastAsia="仿宋_GB2312" w:cs="仿宋_GB2312"/>
                <w:color w:val="000000" w:themeColor="text1"/>
                <w:sz w:val="28"/>
                <w:szCs w:val="28"/>
              </w:rPr>
            </w:pPr>
            <w:bookmarkStart w:id="7" w:name="_Toc44333704"/>
            <w:bookmarkStart w:id="8" w:name="_Toc44333975"/>
            <w:r>
              <w:rPr>
                <w:rFonts w:hint="eastAsia" w:ascii="仿宋_GB2312" w:hAnsi="宋体" w:eastAsia="仿宋_GB2312" w:cs="仿宋_GB2312"/>
                <w:b/>
                <w:color w:val="000000" w:themeColor="text1"/>
                <w:sz w:val="28"/>
                <w:szCs w:val="28"/>
              </w:rPr>
              <w:t>医药化工</w:t>
            </w:r>
            <w:r>
              <w:rPr>
                <w:rFonts w:hint="eastAsia" w:ascii="仿宋_GB2312" w:hAnsi="宋体" w:eastAsia="仿宋_GB2312" w:cs="仿宋_GB2312"/>
                <w:color w:val="000000" w:themeColor="text1"/>
                <w:sz w:val="28"/>
                <w:szCs w:val="28"/>
              </w:rPr>
              <w:t>：立足现有基础和特色优势，</w:t>
            </w:r>
            <w:r>
              <w:rPr>
                <w:rFonts w:ascii="仿宋_GB2312" w:hAnsi="宋体" w:eastAsia="仿宋_GB2312" w:cs="仿宋_GB2312"/>
                <w:color w:val="000000" w:themeColor="text1"/>
                <w:sz w:val="28"/>
                <w:szCs w:val="28"/>
              </w:rPr>
              <w:t>以</w:t>
            </w:r>
            <w:r>
              <w:rPr>
                <w:rFonts w:hint="eastAsia" w:ascii="仿宋_GB2312" w:hAnsi="宋体" w:eastAsia="仿宋_GB2312" w:cs="仿宋_GB2312"/>
                <w:color w:val="000000" w:themeColor="text1"/>
                <w:sz w:val="28"/>
                <w:szCs w:val="28"/>
              </w:rPr>
              <w:t>“</w:t>
            </w:r>
            <w:r>
              <w:rPr>
                <w:rFonts w:ascii="仿宋_GB2312" w:hAnsi="宋体" w:eastAsia="仿宋_GB2312" w:cs="仿宋_GB2312"/>
                <w:color w:val="000000" w:themeColor="text1"/>
                <w:sz w:val="28"/>
                <w:szCs w:val="28"/>
              </w:rPr>
              <w:t>绿色</w:t>
            </w:r>
            <w:r>
              <w:rPr>
                <w:rFonts w:hint="eastAsia" w:ascii="仿宋_GB2312" w:hAnsi="宋体" w:eastAsia="仿宋_GB2312" w:cs="仿宋_GB2312"/>
                <w:color w:val="000000" w:themeColor="text1"/>
                <w:sz w:val="28"/>
                <w:szCs w:val="28"/>
              </w:rPr>
              <w:t>制造</w:t>
            </w:r>
            <w:r>
              <w:rPr>
                <w:rFonts w:ascii="仿宋_GB2312" w:hAnsi="宋体" w:eastAsia="仿宋_GB2312" w:cs="仿宋_GB2312"/>
                <w:color w:val="000000" w:themeColor="text1"/>
                <w:sz w:val="28"/>
                <w:szCs w:val="28"/>
              </w:rPr>
              <w:t>、国际高端</w:t>
            </w:r>
            <w:r>
              <w:rPr>
                <w:rFonts w:hint="eastAsia" w:ascii="仿宋_GB2312" w:hAnsi="宋体" w:eastAsia="仿宋_GB2312" w:cs="仿宋_GB2312"/>
                <w:color w:val="000000" w:themeColor="text1"/>
                <w:sz w:val="28"/>
                <w:szCs w:val="28"/>
              </w:rPr>
              <w:t>”</w:t>
            </w:r>
            <w:r>
              <w:rPr>
                <w:rFonts w:ascii="仿宋_GB2312" w:hAnsi="宋体" w:eastAsia="仿宋_GB2312" w:cs="仿宋_GB2312"/>
                <w:color w:val="000000" w:themeColor="text1"/>
                <w:sz w:val="28"/>
                <w:szCs w:val="28"/>
              </w:rPr>
              <w:t>为导向，</w:t>
            </w:r>
            <w:r>
              <w:rPr>
                <w:rFonts w:hint="eastAsia" w:ascii="仿宋_GB2312" w:hAnsi="宋体" w:eastAsia="仿宋_GB2312" w:cs="仿宋_GB2312"/>
                <w:color w:val="000000" w:themeColor="text1"/>
                <w:sz w:val="28"/>
                <w:szCs w:val="28"/>
              </w:rPr>
              <w:t>以“主攻成品药、做优原料药、控制中间体、发展生物药”为路线，强化创新驱动，加快厚植优势，全面推进</w:t>
            </w:r>
            <w:r>
              <w:rPr>
                <w:rFonts w:ascii="仿宋_GB2312" w:hAnsi="宋体" w:eastAsia="仿宋_GB2312" w:cs="仿宋_GB2312"/>
                <w:color w:val="000000" w:themeColor="text1"/>
                <w:sz w:val="28"/>
                <w:szCs w:val="28"/>
              </w:rPr>
              <w:t>现代医药医化制造模式改造，</w:t>
            </w:r>
            <w:r>
              <w:rPr>
                <w:rFonts w:hint="eastAsia" w:ascii="仿宋_GB2312" w:hAnsi="宋体" w:eastAsia="仿宋_GB2312" w:cs="仿宋_GB2312"/>
                <w:color w:val="000000" w:themeColor="text1"/>
                <w:sz w:val="28"/>
                <w:szCs w:val="28"/>
              </w:rPr>
              <w:t>推进全产业链贯通，引导染料化工产业往高端、绿色方向发展，</w:t>
            </w:r>
            <w:r>
              <w:rPr>
                <w:rFonts w:ascii="仿宋_GB2312" w:hAnsi="宋体" w:eastAsia="仿宋_GB2312" w:cs="仿宋_GB2312"/>
                <w:color w:val="000000" w:themeColor="text1"/>
                <w:sz w:val="28"/>
                <w:szCs w:val="28"/>
              </w:rPr>
              <w:t>努力发展成为</w:t>
            </w:r>
            <w:r>
              <w:rPr>
                <w:rFonts w:hint="eastAsia" w:ascii="仿宋_GB2312" w:hAnsi="宋体" w:eastAsia="仿宋_GB2312" w:cs="仿宋_GB2312"/>
                <w:color w:val="000000" w:themeColor="text1"/>
                <w:sz w:val="28"/>
                <w:szCs w:val="28"/>
              </w:rPr>
              <w:t>“</w:t>
            </w:r>
            <w:r>
              <w:rPr>
                <w:rFonts w:ascii="仿宋_GB2312" w:hAnsi="宋体" w:eastAsia="仿宋_GB2312" w:cs="仿宋_GB2312"/>
                <w:color w:val="000000" w:themeColor="text1"/>
                <w:sz w:val="28"/>
                <w:szCs w:val="28"/>
              </w:rPr>
              <w:t>中国绿色药都</w:t>
            </w:r>
            <w:r>
              <w:rPr>
                <w:rFonts w:hint="eastAsia" w:ascii="仿宋_GB2312" w:hAnsi="宋体" w:eastAsia="仿宋_GB2312" w:cs="仿宋_GB2312"/>
                <w:color w:val="000000" w:themeColor="text1"/>
                <w:sz w:val="28"/>
                <w:szCs w:val="28"/>
              </w:rPr>
              <w:t>”。</w:t>
            </w:r>
            <w:bookmarkEnd w:id="7"/>
            <w:bookmarkEnd w:id="8"/>
          </w:p>
          <w:p>
            <w:pPr>
              <w:spacing w:line="400" w:lineRule="exact"/>
              <w:jc w:val="left"/>
              <w:outlineLvl w:val="0"/>
              <w:rPr>
                <w:rFonts w:ascii="仿宋_GB2312" w:hAnsi="宋体" w:eastAsia="仿宋_GB2312" w:cs="仿宋_GB2312"/>
                <w:color w:val="000000" w:themeColor="text1"/>
                <w:sz w:val="28"/>
                <w:szCs w:val="28"/>
              </w:rPr>
            </w:pPr>
            <w:bookmarkStart w:id="9" w:name="_Toc44333705"/>
            <w:bookmarkStart w:id="10" w:name="_Toc44333976"/>
            <w:r>
              <w:rPr>
                <w:rFonts w:hint="eastAsia" w:ascii="仿宋_GB2312" w:hAnsi="宋体" w:eastAsia="仿宋_GB2312" w:cs="仿宋_GB2312"/>
                <w:b/>
                <w:color w:val="000000" w:themeColor="text1"/>
                <w:sz w:val="28"/>
                <w:szCs w:val="28"/>
              </w:rPr>
              <w:t>缝制设备</w:t>
            </w:r>
            <w:r>
              <w:rPr>
                <w:rFonts w:hint="eastAsia" w:ascii="仿宋_GB2312" w:hAnsi="宋体" w:eastAsia="仿宋_GB2312" w:cs="仿宋_GB2312"/>
                <w:color w:val="000000" w:themeColor="text1"/>
                <w:sz w:val="28"/>
                <w:szCs w:val="28"/>
              </w:rPr>
              <w:t>：</w:t>
            </w:r>
            <w:r>
              <w:rPr>
                <w:rFonts w:ascii="仿宋_GB2312" w:hAnsi="宋体" w:eastAsia="仿宋_GB2312" w:cs="仿宋_GB2312"/>
                <w:color w:val="000000" w:themeColor="text1"/>
                <w:sz w:val="28"/>
                <w:szCs w:val="28"/>
              </w:rPr>
              <w:t>以</w:t>
            </w:r>
            <w:r>
              <w:rPr>
                <w:rFonts w:hint="eastAsia" w:ascii="仿宋_GB2312" w:hAnsi="宋体" w:eastAsia="仿宋_GB2312" w:cs="仿宋_GB2312"/>
                <w:color w:val="000000" w:themeColor="text1"/>
                <w:sz w:val="28"/>
                <w:szCs w:val="28"/>
              </w:rPr>
              <w:t>“</w:t>
            </w:r>
            <w:r>
              <w:rPr>
                <w:rFonts w:ascii="仿宋_GB2312" w:hAnsi="宋体" w:eastAsia="仿宋_GB2312" w:cs="仿宋_GB2312"/>
                <w:color w:val="000000" w:themeColor="text1"/>
                <w:sz w:val="28"/>
                <w:szCs w:val="28"/>
              </w:rPr>
              <w:t>新蓝海、新市场、新模式</w:t>
            </w:r>
            <w:r>
              <w:rPr>
                <w:rFonts w:hint="eastAsia" w:ascii="仿宋_GB2312" w:hAnsi="宋体" w:eastAsia="仿宋_GB2312" w:cs="仿宋_GB2312"/>
                <w:color w:val="000000" w:themeColor="text1"/>
                <w:sz w:val="28"/>
                <w:szCs w:val="28"/>
              </w:rPr>
              <w:t>”</w:t>
            </w:r>
            <w:r>
              <w:rPr>
                <w:rFonts w:ascii="仿宋_GB2312" w:hAnsi="宋体" w:eastAsia="仿宋_GB2312" w:cs="仿宋_GB2312"/>
                <w:color w:val="000000" w:themeColor="text1"/>
                <w:sz w:val="28"/>
                <w:szCs w:val="28"/>
              </w:rPr>
              <w:t>为导向，</w:t>
            </w:r>
            <w:r>
              <w:rPr>
                <w:rFonts w:hint="eastAsia" w:ascii="仿宋_GB2312" w:hAnsi="宋体" w:eastAsia="仿宋_GB2312" w:cs="仿宋_GB2312"/>
                <w:color w:val="000000" w:themeColor="text1"/>
                <w:sz w:val="28"/>
                <w:szCs w:val="28"/>
              </w:rPr>
              <w:t>强化创新驱动，提升缝制设备零部件企业设计、装备、工艺水平，优化缝制设备产业链上下游协作，建立优质配套体系，鼓励龙头企业兼并重组，</w:t>
            </w:r>
            <w:r>
              <w:rPr>
                <w:rFonts w:ascii="仿宋_GB2312" w:hAnsi="宋体" w:eastAsia="仿宋_GB2312" w:cs="仿宋_GB2312"/>
                <w:color w:val="000000" w:themeColor="text1"/>
                <w:sz w:val="28"/>
                <w:szCs w:val="28"/>
              </w:rPr>
              <w:t>加快发展形成工业缝纫机、关键零部件、智能缝制单元和智能缝制生产线协同发展的产业格局，努力建设成为全球最大的缝制装备智能制造基地、行业领先的缝制设备创新研发中心、世界一流的缝制设备智能制造服务中心</w:t>
            </w:r>
            <w:r>
              <w:rPr>
                <w:rFonts w:hint="eastAsia" w:ascii="仿宋_GB2312" w:hAnsi="宋体" w:eastAsia="仿宋_GB2312" w:cs="仿宋_GB2312"/>
                <w:color w:val="000000" w:themeColor="text1"/>
                <w:sz w:val="28"/>
                <w:szCs w:val="28"/>
              </w:rPr>
              <w:t>。</w:t>
            </w:r>
            <w:bookmarkEnd w:id="9"/>
            <w:bookmarkEnd w:id="10"/>
          </w:p>
        </w:tc>
      </w:tr>
    </w:tbl>
    <w:p>
      <w:pPr>
        <w:ind w:firstLine="643" w:firstLineChars="200"/>
        <w:rPr>
          <w:rFonts w:ascii="仿宋_GB2312" w:eastAsia="仿宋_GB2312"/>
          <w:sz w:val="32"/>
          <w:szCs w:val="32"/>
        </w:rPr>
      </w:pPr>
      <w:r>
        <w:rPr>
          <w:rFonts w:cs="Times New Roman" w:asciiTheme="minorEastAsia" w:hAnsiTheme="minorEastAsia"/>
          <w:b/>
          <w:sz w:val="32"/>
          <w:szCs w:val="32"/>
        </w:rPr>
        <w:t>聚焦“特而精”，打造</w:t>
      </w:r>
      <w:r>
        <w:rPr>
          <w:rFonts w:hint="eastAsia" w:cs="Times New Roman" w:asciiTheme="minorEastAsia" w:hAnsiTheme="minorEastAsia"/>
          <w:b/>
          <w:sz w:val="32"/>
          <w:szCs w:val="32"/>
        </w:rPr>
        <w:t>四大具有台州特色的产业</w:t>
      </w:r>
      <w:r>
        <w:rPr>
          <w:rFonts w:cs="Times New Roman" w:asciiTheme="minorEastAsia" w:hAnsiTheme="minorEastAsia"/>
          <w:b/>
          <w:sz w:val="32"/>
          <w:szCs w:val="32"/>
        </w:rPr>
        <w:t>集群。</w:t>
      </w:r>
      <w:r>
        <w:rPr>
          <w:rFonts w:ascii="Times New Roman" w:hAnsi="Times New Roman" w:cs="Times New Roman"/>
          <w:sz w:val="32"/>
          <w:szCs w:val="32"/>
        </w:rPr>
        <w:t>针对</w:t>
      </w:r>
      <w:r>
        <w:rPr>
          <w:rFonts w:hint="eastAsia" w:ascii="Times New Roman" w:hAnsi="Times New Roman" w:cs="Times New Roman"/>
          <w:sz w:val="32"/>
          <w:szCs w:val="32"/>
        </w:rPr>
        <w:t>智能马桶、汽车零配件、电子信息、眼镜等</w:t>
      </w:r>
      <w:r>
        <w:rPr>
          <w:rFonts w:ascii="Times New Roman" w:hAnsi="Times New Roman" w:cs="Times New Roman"/>
          <w:sz w:val="32"/>
          <w:szCs w:val="32"/>
        </w:rPr>
        <w:t>特色产业，</w:t>
      </w:r>
      <w:r>
        <w:rPr>
          <w:rFonts w:hint="eastAsia" w:ascii="Times New Roman" w:hAnsi="Times New Roman" w:cs="Times New Roman"/>
          <w:sz w:val="32"/>
          <w:szCs w:val="32"/>
        </w:rPr>
        <w:t>完善分行业扶持政策，构建企业供应链风险管理体系，推动供应链本土化、区域化，带动区域产业链安全升级。</w:t>
      </w:r>
      <w:r>
        <w:rPr>
          <w:rFonts w:ascii="Times New Roman" w:hAnsi="Times New Roman" w:cs="Times New Roman"/>
          <w:sz w:val="32"/>
          <w:szCs w:val="32"/>
        </w:rPr>
        <w:t>加强标准引领、品牌带动、管理创新</w:t>
      </w:r>
      <w:r>
        <w:rPr>
          <w:rFonts w:hint="eastAsia" w:ascii="Times New Roman" w:hAnsi="Times New Roman" w:cs="Times New Roman"/>
          <w:sz w:val="32"/>
          <w:szCs w:val="32"/>
        </w:rPr>
        <w:t>，重点打造</w:t>
      </w:r>
      <w:r>
        <w:rPr>
          <w:rFonts w:ascii="Times New Roman" w:hAnsi="Times New Roman" w:cs="Times New Roman"/>
          <w:sz w:val="32"/>
          <w:szCs w:val="32"/>
        </w:rPr>
        <w:t>以水晶光电为龙头的光电产业链</w:t>
      </w:r>
      <w:r>
        <w:rPr>
          <w:rFonts w:hint="eastAsia" w:ascii="Times New Roman" w:hAnsi="Times New Roman" w:cs="Times New Roman"/>
          <w:sz w:val="32"/>
          <w:szCs w:val="32"/>
        </w:rPr>
        <w:t>、</w:t>
      </w:r>
      <w:r>
        <w:rPr>
          <w:rFonts w:ascii="Times New Roman" w:hAnsi="Times New Roman" w:cs="Times New Roman"/>
          <w:sz w:val="32"/>
          <w:szCs w:val="32"/>
        </w:rPr>
        <w:t>以星星便洁宝</w:t>
      </w:r>
      <w:r>
        <w:rPr>
          <w:rFonts w:hint="eastAsia" w:ascii="Times New Roman" w:hAnsi="Times New Roman" w:cs="Times New Roman"/>
          <w:sz w:val="32"/>
          <w:szCs w:val="32"/>
        </w:rPr>
        <w:t>、</w:t>
      </w:r>
      <w:r>
        <w:rPr>
          <w:rFonts w:ascii="Times New Roman" w:hAnsi="Times New Roman" w:cs="Times New Roman"/>
          <w:sz w:val="32"/>
          <w:szCs w:val="32"/>
        </w:rPr>
        <w:t>怡和卫浴为龙头的智能马桶产业链</w:t>
      </w:r>
      <w:r>
        <w:rPr>
          <w:rFonts w:hint="eastAsia" w:ascii="Times New Roman" w:hAnsi="Times New Roman" w:cs="Times New Roman"/>
          <w:sz w:val="32"/>
          <w:szCs w:val="32"/>
        </w:rPr>
        <w:t>，</w:t>
      </w:r>
      <w:r>
        <w:rPr>
          <w:rFonts w:ascii="Times New Roman" w:hAnsi="Times New Roman" w:cs="Times New Roman"/>
          <w:sz w:val="32"/>
          <w:szCs w:val="32"/>
        </w:rPr>
        <w:t>推动产业向价值链高端延伸，不断提升产品附加值</w:t>
      </w:r>
      <w:r>
        <w:rPr>
          <w:rFonts w:hint="eastAsia" w:ascii="Times New Roman" w:hAnsi="Times New Roman" w:cs="Times New Roman"/>
          <w:sz w:val="32"/>
          <w:szCs w:val="32"/>
        </w:rPr>
        <w:t>，</w:t>
      </w:r>
      <w:r>
        <w:rPr>
          <w:rFonts w:ascii="Times New Roman" w:hAnsi="Times New Roman" w:cs="Times New Roman"/>
          <w:sz w:val="32"/>
          <w:szCs w:val="32"/>
        </w:rPr>
        <w:t>打造</w:t>
      </w:r>
      <w:r>
        <w:rPr>
          <w:rFonts w:hint="eastAsia" w:ascii="Times New Roman" w:hAnsi="Times New Roman" w:cs="Times New Roman"/>
          <w:sz w:val="32"/>
          <w:szCs w:val="32"/>
        </w:rPr>
        <w:t>具有台州特色的产业集群</w:t>
      </w:r>
      <w:r>
        <w:rPr>
          <w:rFonts w:ascii="Times New Roman" w:hAnsi="Times New Roman" w:cs="Times New Roman"/>
          <w:sz w:val="32"/>
          <w:szCs w:val="32"/>
        </w:rPr>
        <w:t>。</w:t>
      </w: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shd w:val="clear" w:color="auto" w:fill="B6DDE8" w:themeFill="accent5" w:themeFillTint="66"/>
          </w:tcPr>
          <w:p>
            <w:pPr>
              <w:pStyle w:val="19"/>
              <w:spacing w:line="600" w:lineRule="exact"/>
              <w:ind w:firstLine="0" w:firstLineChars="0"/>
              <w:rPr>
                <w:rFonts w:ascii="仿宋_GB2312" w:hAnsi="宋体" w:cs="仿宋_GB2312"/>
                <w:b/>
                <w:color w:val="000000" w:themeColor="text1"/>
                <w:sz w:val="32"/>
                <w:szCs w:val="32"/>
              </w:rPr>
            </w:pPr>
            <w:r>
              <w:rPr>
                <w:rFonts w:hint="eastAsia" w:cs="Times New Roman" w:hAnsiTheme="minorHAnsi" w:eastAsiaTheme="minorEastAsia"/>
                <w:b/>
                <w:sz w:val="28"/>
                <w:szCs w:val="28"/>
              </w:rPr>
              <w:t>专栏2：椒江区具有台州特色的产业集群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spacing w:line="400" w:lineRule="exact"/>
              <w:jc w:val="left"/>
              <w:outlineLvl w:val="0"/>
              <w:rPr>
                <w:rFonts w:ascii="仿宋_GB2312" w:hAnsi="宋体" w:eastAsia="仿宋_GB2312" w:cs="仿宋_GB2312"/>
                <w:color w:val="000000" w:themeColor="text1"/>
                <w:sz w:val="28"/>
                <w:szCs w:val="28"/>
              </w:rPr>
            </w:pPr>
            <w:bookmarkStart w:id="11" w:name="_Toc44333706"/>
            <w:bookmarkStart w:id="12" w:name="_Toc44333977"/>
            <w:r>
              <w:rPr>
                <w:rFonts w:hint="eastAsia" w:ascii="仿宋_GB2312" w:hAnsi="宋体" w:eastAsia="仿宋_GB2312" w:cs="仿宋_GB2312"/>
                <w:b/>
                <w:color w:val="000000" w:themeColor="text1"/>
                <w:sz w:val="28"/>
                <w:szCs w:val="28"/>
              </w:rPr>
              <w:t>智能马桶</w:t>
            </w:r>
            <w:r>
              <w:rPr>
                <w:rFonts w:hint="eastAsia" w:ascii="仿宋_GB2312" w:hAnsi="宋体" w:eastAsia="仿宋_GB2312" w:cs="仿宋_GB2312"/>
                <w:color w:val="000000" w:themeColor="text1"/>
                <w:sz w:val="28"/>
                <w:szCs w:val="28"/>
              </w:rPr>
              <w:t>：</w:t>
            </w:r>
            <w:bookmarkEnd w:id="11"/>
            <w:bookmarkEnd w:id="12"/>
            <w:r>
              <w:rPr>
                <w:rFonts w:hint="eastAsia" w:ascii="仿宋_GB2312" w:hAnsi="宋体" w:eastAsia="仿宋_GB2312" w:cs="仿宋_GB2312"/>
                <w:color w:val="000000" w:themeColor="text1"/>
                <w:sz w:val="28"/>
                <w:szCs w:val="28"/>
              </w:rPr>
              <w:t>充分发挥先发优势，以设备改造、工艺升级、产品开发为抓手，</w:t>
            </w:r>
            <w:r>
              <w:rPr>
                <w:rFonts w:ascii="仿宋_GB2312" w:hAnsi="宋体" w:eastAsia="仿宋_GB2312" w:cs="仿宋_GB2312"/>
                <w:color w:val="000000" w:themeColor="text1"/>
                <w:sz w:val="28"/>
                <w:szCs w:val="28"/>
              </w:rPr>
              <w:t>加大科技研发投入，巩固提升产品质量，全力拓展国际国内市场，</w:t>
            </w:r>
            <w:r>
              <w:rPr>
                <w:rFonts w:hint="eastAsia" w:ascii="仿宋_GB2312" w:hAnsi="宋体" w:eastAsia="仿宋_GB2312" w:cs="仿宋_GB2312"/>
                <w:color w:val="000000" w:themeColor="text1"/>
                <w:sz w:val="28"/>
                <w:szCs w:val="28"/>
              </w:rPr>
              <w:t>提高“智能马桶椒江造”知晓度和美誉度，实现高质量裂变发展。</w:t>
            </w:r>
          </w:p>
          <w:p>
            <w:pPr>
              <w:spacing w:line="400" w:lineRule="exact"/>
              <w:jc w:val="left"/>
              <w:outlineLvl w:val="0"/>
              <w:rPr>
                <w:rFonts w:ascii="仿宋_GB2312" w:hAnsi="宋体" w:eastAsia="仿宋_GB2312" w:cs="仿宋_GB2312"/>
                <w:color w:val="000000" w:themeColor="text1"/>
                <w:sz w:val="28"/>
                <w:szCs w:val="28"/>
              </w:rPr>
            </w:pPr>
            <w:bookmarkStart w:id="13" w:name="_Toc44333707"/>
            <w:bookmarkStart w:id="14" w:name="_Toc44333978"/>
            <w:r>
              <w:rPr>
                <w:rFonts w:hint="eastAsia" w:ascii="仿宋_GB2312" w:hAnsi="宋体" w:eastAsia="仿宋_GB2312" w:cs="仿宋_GB2312"/>
                <w:b/>
                <w:color w:val="000000" w:themeColor="text1"/>
                <w:sz w:val="28"/>
                <w:szCs w:val="28"/>
              </w:rPr>
              <w:t>汽车零配件</w:t>
            </w:r>
            <w:r>
              <w:rPr>
                <w:rFonts w:hint="eastAsia" w:ascii="仿宋_GB2312" w:hAnsi="宋体" w:eastAsia="仿宋_GB2312" w:cs="仿宋_GB2312"/>
                <w:color w:val="000000" w:themeColor="text1"/>
                <w:sz w:val="28"/>
                <w:szCs w:val="28"/>
              </w:rPr>
              <w:t>：抓住新能源汽车发展的机遇，加快推进新项目招引、落地，推动传统汽车零部件向新能源汽车零部件转变，做大做强做精汽车零部件。</w:t>
            </w:r>
            <w:bookmarkEnd w:id="13"/>
            <w:bookmarkEnd w:id="14"/>
          </w:p>
          <w:p>
            <w:pPr>
              <w:spacing w:line="400" w:lineRule="exact"/>
              <w:jc w:val="left"/>
              <w:outlineLvl w:val="0"/>
              <w:rPr>
                <w:rFonts w:ascii="仿宋_GB2312" w:hAnsi="宋体" w:eastAsia="仿宋_GB2312" w:cs="仿宋_GB2312"/>
                <w:color w:val="000000" w:themeColor="text1"/>
                <w:sz w:val="28"/>
                <w:szCs w:val="28"/>
              </w:rPr>
            </w:pPr>
            <w:bookmarkStart w:id="15" w:name="_Toc44333708"/>
            <w:bookmarkStart w:id="16" w:name="_Toc44333979"/>
            <w:r>
              <w:rPr>
                <w:rFonts w:hint="eastAsia" w:ascii="仿宋_GB2312" w:hAnsi="宋体" w:eastAsia="仿宋_GB2312" w:cs="仿宋_GB2312"/>
                <w:b/>
                <w:color w:val="000000" w:themeColor="text1"/>
                <w:sz w:val="28"/>
                <w:szCs w:val="28"/>
              </w:rPr>
              <w:t>电子信息：</w:t>
            </w:r>
            <w:r>
              <w:rPr>
                <w:rFonts w:hint="eastAsia" w:ascii="仿宋_GB2312" w:hAnsi="宋体" w:eastAsia="仿宋_GB2312" w:cs="仿宋_GB2312"/>
                <w:color w:val="000000" w:themeColor="text1"/>
                <w:sz w:val="28"/>
                <w:szCs w:val="28"/>
              </w:rPr>
              <w:t>产业主动对接5G，发展智能移动终端的各类零部件生产制造，紧盯后续应用技术的开发布局。</w:t>
            </w:r>
            <w:bookmarkEnd w:id="15"/>
            <w:bookmarkEnd w:id="16"/>
          </w:p>
          <w:p>
            <w:pPr>
              <w:spacing w:line="400" w:lineRule="exact"/>
              <w:jc w:val="left"/>
              <w:outlineLvl w:val="0"/>
              <w:rPr>
                <w:rFonts w:ascii="仿宋_GB2312" w:hAnsi="宋体" w:eastAsia="仿宋_GB2312" w:cs="仿宋_GB2312"/>
                <w:color w:val="000000" w:themeColor="text1"/>
                <w:sz w:val="28"/>
                <w:szCs w:val="28"/>
              </w:rPr>
            </w:pPr>
            <w:bookmarkStart w:id="17" w:name="_Toc44333709"/>
            <w:bookmarkStart w:id="18" w:name="_Toc44333980"/>
            <w:r>
              <w:rPr>
                <w:rFonts w:hint="eastAsia" w:ascii="仿宋_GB2312" w:hAnsi="宋体" w:eastAsia="仿宋_GB2312" w:cs="仿宋_GB2312"/>
                <w:b/>
                <w:color w:val="000000" w:themeColor="text1"/>
                <w:sz w:val="28"/>
                <w:szCs w:val="28"/>
              </w:rPr>
              <w:t>眼镜产业：</w:t>
            </w:r>
            <w:r>
              <w:rPr>
                <w:rFonts w:ascii="仿宋_GB2312" w:hAnsi="宋体" w:eastAsia="仿宋_GB2312" w:cs="仿宋_GB2312"/>
                <w:color w:val="000000" w:themeColor="text1"/>
                <w:sz w:val="28"/>
                <w:szCs w:val="28"/>
              </w:rPr>
              <w:t>整合优势资源，</w:t>
            </w:r>
            <w:r>
              <w:rPr>
                <w:rFonts w:hint="eastAsia" w:ascii="仿宋_GB2312" w:hAnsi="宋体" w:eastAsia="仿宋_GB2312" w:cs="仿宋_GB2312"/>
                <w:color w:val="000000" w:themeColor="text1"/>
                <w:sz w:val="28"/>
                <w:szCs w:val="28"/>
              </w:rPr>
              <w:t>鼓励</w:t>
            </w:r>
            <w:r>
              <w:rPr>
                <w:rFonts w:ascii="仿宋_GB2312" w:hAnsi="宋体" w:eastAsia="仿宋_GB2312" w:cs="仿宋_GB2312"/>
                <w:color w:val="000000" w:themeColor="text1"/>
                <w:sz w:val="28"/>
                <w:szCs w:val="28"/>
              </w:rPr>
              <w:t>企业抱团发展，互相支持补台</w:t>
            </w:r>
            <w:r>
              <w:rPr>
                <w:rFonts w:hint="eastAsia" w:ascii="仿宋_GB2312" w:hAnsi="宋体" w:eastAsia="仿宋_GB2312" w:cs="仿宋_GB2312"/>
                <w:color w:val="000000" w:themeColor="text1"/>
                <w:sz w:val="28"/>
                <w:szCs w:val="28"/>
              </w:rPr>
              <w:t>，</w:t>
            </w:r>
            <w:r>
              <w:rPr>
                <w:rFonts w:ascii="仿宋_GB2312" w:hAnsi="宋体" w:eastAsia="仿宋_GB2312" w:cs="仿宋_GB2312"/>
                <w:color w:val="000000" w:themeColor="text1"/>
                <w:sz w:val="28"/>
                <w:szCs w:val="28"/>
              </w:rPr>
              <w:t>重视产品研发，制订行业标准，在细分领域做精做强，打造一条上下游配套完整的产业链</w:t>
            </w:r>
            <w:r>
              <w:rPr>
                <w:rFonts w:hint="eastAsia" w:ascii="仿宋_GB2312" w:hAnsi="宋体" w:eastAsia="仿宋_GB2312" w:cs="仿宋_GB2312"/>
                <w:color w:val="000000" w:themeColor="text1"/>
                <w:sz w:val="28"/>
                <w:szCs w:val="28"/>
              </w:rPr>
              <w:t>。</w:t>
            </w:r>
            <w:bookmarkEnd w:id="17"/>
            <w:bookmarkEnd w:id="18"/>
          </w:p>
        </w:tc>
      </w:tr>
    </w:tbl>
    <w:p>
      <w:pPr>
        <w:pStyle w:val="19"/>
        <w:spacing w:line="600" w:lineRule="exact"/>
        <w:ind w:firstLine="643"/>
        <w:rPr>
          <w:rFonts w:cs="Times New Roman" w:eastAsiaTheme="minorEastAsia"/>
          <w:sz w:val="32"/>
          <w:szCs w:val="32"/>
        </w:rPr>
      </w:pPr>
      <w:r>
        <w:rPr>
          <w:rFonts w:hint="eastAsia" w:cs="Times New Roman" w:asciiTheme="minorEastAsia" w:hAnsiTheme="minorEastAsia" w:eastAsiaTheme="minorEastAsia"/>
          <w:b/>
          <w:sz w:val="32"/>
          <w:szCs w:val="32"/>
        </w:rPr>
        <w:t>聚焦“新而优”，培育若干个未来产业集群。</w:t>
      </w:r>
      <w:r>
        <w:rPr>
          <w:rFonts w:ascii="宋体" w:hAnsi="宋体" w:eastAsia="宋体" w:cs="Times New Roman"/>
          <w:sz w:val="32"/>
          <w:szCs w:val="32"/>
        </w:rPr>
        <w:t>针对人工智能、</w:t>
      </w:r>
      <w:r>
        <w:rPr>
          <w:rFonts w:cs="Times New Roman" w:eastAsiaTheme="minorEastAsia"/>
          <w:sz w:val="32"/>
          <w:szCs w:val="32"/>
        </w:rPr>
        <w:t>工业互联网、5G等</w:t>
      </w:r>
      <w:r>
        <w:rPr>
          <w:rFonts w:hint="eastAsia" w:cs="Times New Roman" w:eastAsiaTheme="minorEastAsia"/>
          <w:sz w:val="32"/>
          <w:szCs w:val="32"/>
        </w:rPr>
        <w:t>数字经济细分领域</w:t>
      </w:r>
      <w:r>
        <w:rPr>
          <w:rFonts w:cs="Times New Roman" w:eastAsiaTheme="minorEastAsia"/>
          <w:sz w:val="32"/>
          <w:szCs w:val="32"/>
        </w:rPr>
        <w:t>，深入实施数字经济“一号工程”和招商引资“一把手工程”，不断优化营商环境，加大引育力度，强化政策扶持，促进人才集聚，</w:t>
      </w:r>
      <w:r>
        <w:rPr>
          <w:rFonts w:hint="eastAsia" w:cs="Times New Roman" w:eastAsiaTheme="minorEastAsia"/>
          <w:sz w:val="32"/>
          <w:szCs w:val="32"/>
        </w:rPr>
        <w:t>积极对接腾讯、华为、阿里等数字经济重点企业，引进前瞻性的优质项目或行业龙头企业入驻台州湾数字经济产业园，</w:t>
      </w:r>
      <w:r>
        <w:rPr>
          <w:rFonts w:cs="Times New Roman" w:eastAsiaTheme="minorEastAsia"/>
          <w:sz w:val="32"/>
          <w:szCs w:val="32"/>
        </w:rPr>
        <w:t>进一步培育发展新动能，打造若干未来产业集群。</w:t>
      </w:r>
    </w:p>
    <w:p>
      <w:pPr>
        <w:ind w:firstLine="640" w:firstLineChars="200"/>
        <w:jc w:val="left"/>
        <w:outlineLvl w:val="1"/>
        <w:rPr>
          <w:rFonts w:ascii="黑体" w:hAnsi="黑体" w:eastAsia="黑体" w:cs="Times New Roman"/>
          <w:sz w:val="32"/>
          <w:szCs w:val="32"/>
        </w:rPr>
      </w:pPr>
      <w:bookmarkStart w:id="19" w:name="_Toc44333981"/>
      <w:r>
        <w:rPr>
          <w:rFonts w:ascii="黑体" w:hAnsi="黑体" w:eastAsia="黑体" w:cs="Times New Roman"/>
          <w:sz w:val="32"/>
          <w:szCs w:val="32"/>
        </w:rPr>
        <w:t>（二）科技创新领航行动</w:t>
      </w:r>
      <w:bookmarkEnd w:id="19"/>
    </w:p>
    <w:p>
      <w:pPr>
        <w:ind w:firstLine="643" w:firstLineChars="200"/>
        <w:rPr>
          <w:b/>
          <w:sz w:val="32"/>
          <w:szCs w:val="32"/>
        </w:rPr>
      </w:pPr>
      <w:r>
        <w:rPr>
          <w:rFonts w:hint="eastAsia" w:cs="仿宋_GB2312"/>
          <w:b/>
          <w:bCs/>
          <w:color w:val="000000"/>
          <w:sz w:val="32"/>
          <w:szCs w:val="32"/>
        </w:rPr>
        <w:t>推进重点创新平台建设。</w:t>
      </w:r>
      <w:r>
        <w:rPr>
          <w:rFonts w:hint="eastAsia"/>
          <w:sz w:val="32"/>
          <w:szCs w:val="32"/>
        </w:rPr>
        <w:t>面向椒江区重点产业技术创新需求，按照“一业一平台”，深入实施产业服务综合体建设，重点推进智能马桶产业、缝制设备产业创新服务综合体建设，谋划打造服装产业创新服务综合体。加强公共科技创新平台、省级区域行业创新平台、军民融合平台等创新型科技成果平台管理提升。加强产学研合作，积极与浙江省产学研联盟台州中心、浙大台州研究院、中科院台州中心等平台开展合作。到2022年，力争创建省级产业创新服务综合体1个以上。</w:t>
      </w:r>
    </w:p>
    <w:p>
      <w:pPr>
        <w:ind w:firstLine="643" w:firstLineChars="200"/>
        <w:rPr>
          <w:b/>
          <w:sz w:val="32"/>
          <w:szCs w:val="32"/>
        </w:rPr>
      </w:pPr>
      <w:r>
        <w:rPr>
          <w:rFonts w:hint="eastAsia" w:cs="仿宋_GB2312"/>
          <w:b/>
          <w:sz w:val="32"/>
          <w:szCs w:val="32"/>
        </w:rPr>
        <w:t>激发企业自主创新活力。</w:t>
      </w:r>
      <w:r>
        <w:rPr>
          <w:rFonts w:hint="eastAsia"/>
          <w:sz w:val="32"/>
          <w:szCs w:val="32"/>
        </w:rPr>
        <w:t>大力发展高新技术企业，</w:t>
      </w:r>
      <w:r>
        <w:rPr>
          <w:sz w:val="32"/>
          <w:szCs w:val="32"/>
        </w:rPr>
        <w:t>完善“科技型中小企业、高成长科技型中小企业、高新技术企业、创新型领军企业”梯度培育机制。</w:t>
      </w:r>
      <w:r>
        <w:rPr>
          <w:rFonts w:hint="eastAsia"/>
          <w:sz w:val="32"/>
          <w:szCs w:val="32"/>
        </w:rPr>
        <w:t>加大企业研发机构建设，支持行业龙头骨干企业和创新型企业创建企业技术中心、企业研究院、高新技术企业研发中心、工业设计中心等企业创新载体，引导企业联合高校建立独立实验室、研发机构分支、校企共建实验室等。加强科技型中小企业研发机构的培育力度。推广应用研发项目信息管理系统，加大研发投入补贴力度，制定出台提高R&amp;D占比的激励政策，落实研发费用加计扣除等激励企业创新的普惠政策。力争到2022年，国家高新技术企业达到100家，省科技型中小企业达到450家，努力实现产值10亿元以上企业建设研究院全覆盖、年产值1亿元以上龙头骨干企业建设企业研发中心全覆盖。</w:t>
      </w:r>
    </w:p>
    <w:p>
      <w:pPr>
        <w:ind w:firstLine="643" w:firstLineChars="200"/>
        <w:rPr>
          <w:sz w:val="32"/>
          <w:szCs w:val="32"/>
        </w:rPr>
      </w:pPr>
      <w:r>
        <w:rPr>
          <w:rFonts w:hint="eastAsia" w:cs="仿宋_GB2312"/>
          <w:b/>
          <w:bCs/>
          <w:color w:val="000000"/>
          <w:sz w:val="32"/>
          <w:szCs w:val="32"/>
        </w:rPr>
        <w:t>加强关键技术研发和产业化。</w:t>
      </w:r>
      <w:r>
        <w:rPr>
          <w:rFonts w:hint="eastAsia"/>
          <w:sz w:val="32"/>
          <w:szCs w:val="32"/>
        </w:rPr>
        <w:t>对接省市</w:t>
      </w:r>
      <w:r>
        <w:rPr>
          <w:sz w:val="32"/>
          <w:szCs w:val="32"/>
        </w:rPr>
        <w:t>科技创新尖峰、尖兵、领雁、领航</w:t>
      </w:r>
      <w:r>
        <w:rPr>
          <w:rFonts w:hint="eastAsia"/>
          <w:sz w:val="32"/>
          <w:szCs w:val="32"/>
        </w:rPr>
        <w:t>四大</w:t>
      </w:r>
      <w:r>
        <w:rPr>
          <w:sz w:val="32"/>
          <w:szCs w:val="32"/>
        </w:rPr>
        <w:t>计划，</w:t>
      </w:r>
      <w:r>
        <w:rPr>
          <w:rFonts w:hint="eastAsia"/>
          <w:sz w:val="32"/>
          <w:szCs w:val="32"/>
        </w:rPr>
        <w:t>围绕椒江制造业重点领域，</w:t>
      </w:r>
      <w:r>
        <w:rPr>
          <w:sz w:val="32"/>
          <w:szCs w:val="32"/>
        </w:rPr>
        <w:t>梳理确定一批产业“卡脖子”共性技术和关键核心技术项目清单，集中科技力量攻克一批关键共性技术瓶颈。</w:t>
      </w:r>
      <w:r>
        <w:rPr>
          <w:rFonts w:hint="eastAsia"/>
          <w:sz w:val="32"/>
          <w:szCs w:val="32"/>
        </w:rPr>
        <w:t>发挥科技大市场平台优势，构建包含众创空间—孵化器—加速器—中小企业创业园等各环节的产业技术创新链。全力推进“接轨大上海、融入长三角”，联合高等院校、科研院所等组建技术转移中心，加快创新成果转化和落地应用。推进科技孵化器建设，支持星星、飞跃、方远等民营企业建设科技孵化器、众创空间，多形式搭建科技孵化平台。深入推进航天军民科技合作成果转化基地建设，做好“1+Ｎ”模式充实升级。到2022年，新增3家以上技术转移中心。</w:t>
      </w:r>
    </w:p>
    <w:p>
      <w:pPr>
        <w:ind w:firstLine="640" w:firstLineChars="200"/>
        <w:jc w:val="left"/>
        <w:outlineLvl w:val="1"/>
        <w:rPr>
          <w:rFonts w:ascii="黑体" w:hAnsi="黑体" w:eastAsia="黑体" w:cs="Times New Roman"/>
          <w:sz w:val="32"/>
          <w:szCs w:val="32"/>
        </w:rPr>
      </w:pPr>
      <w:bookmarkStart w:id="20" w:name="_Toc44333982"/>
      <w:r>
        <w:rPr>
          <w:rFonts w:ascii="黑体" w:hAnsi="黑体" w:eastAsia="黑体" w:cs="Times New Roman"/>
          <w:sz w:val="32"/>
          <w:szCs w:val="32"/>
        </w:rPr>
        <w:t>（三）产业平台优化行动</w:t>
      </w:r>
      <w:bookmarkEnd w:id="20"/>
    </w:p>
    <w:p>
      <w:pPr>
        <w:pStyle w:val="19"/>
        <w:spacing w:line="240" w:lineRule="auto"/>
        <w:ind w:firstLine="643"/>
        <w:rPr>
          <w:rFonts w:ascii="宋体" w:hAnsi="宋体" w:eastAsia="宋体" w:cs="Times New Roman"/>
          <w:sz w:val="32"/>
          <w:szCs w:val="32"/>
        </w:rPr>
      </w:pPr>
      <w:r>
        <w:rPr>
          <w:rFonts w:hint="eastAsia" w:cs="仿宋_GB2312" w:asciiTheme="minorEastAsia" w:hAnsiTheme="minorEastAsia" w:eastAsiaTheme="minorEastAsia"/>
          <w:b/>
          <w:bCs/>
          <w:color w:val="000000" w:themeColor="text1"/>
          <w:sz w:val="32"/>
          <w:szCs w:val="32"/>
        </w:rPr>
        <w:t>着眼集聚优化，建设省级经济开发区。</w:t>
      </w:r>
      <w:r>
        <w:rPr>
          <w:rFonts w:hint="eastAsia" w:ascii="宋体" w:hAnsi="宋体" w:eastAsia="宋体" w:cs="Times New Roman"/>
          <w:sz w:val="32"/>
          <w:szCs w:val="32"/>
        </w:rPr>
        <w:t>加大各类园区的集聚优化</w:t>
      </w:r>
      <w:r>
        <w:rPr>
          <w:rFonts w:ascii="宋体" w:hAnsi="宋体" w:eastAsia="宋体" w:cs="Times New Roman"/>
          <w:sz w:val="32"/>
          <w:szCs w:val="32"/>
        </w:rPr>
        <w:t>，</w:t>
      </w:r>
      <w:r>
        <w:rPr>
          <w:rFonts w:hint="eastAsia" w:ascii="宋体" w:hAnsi="宋体" w:eastAsia="宋体" w:cs="Times New Roman"/>
          <w:sz w:val="32"/>
          <w:szCs w:val="32"/>
        </w:rPr>
        <w:t>设立浙江椒江经济开发区。以浙江台州化学原料药产业园区椒江区块为核心，就近整合椒南、椒北、洪家（下陈）区块，重点发展医化、智能缝制设备、智能马桶三大主导产业，引导优质资源、重大项目聚集集中，加快产城融合发展，促进产业园区由封闭型的区块向城市综合功能区转型。到2022年，将浙江椒江经济开发区建设成为“椒江智造”核心区、自主创新引领区、产城融合示范区和浙江民营经济发展新高地。</w:t>
      </w:r>
      <w:r>
        <w:rPr>
          <w:rFonts w:ascii="宋体" w:hAnsi="宋体" w:eastAsia="宋体" w:cs="Times New Roman"/>
          <w:sz w:val="32"/>
          <w:szCs w:val="32"/>
        </w:rPr>
        <w:t>推进椒江智能马桶小镇、绿色药都小镇</w:t>
      </w:r>
      <w:r>
        <w:rPr>
          <w:rFonts w:hint="eastAsia" w:ascii="宋体" w:hAnsi="宋体" w:eastAsia="宋体" w:cs="Times New Roman"/>
          <w:sz w:val="32"/>
          <w:szCs w:val="32"/>
        </w:rPr>
        <w:t>等创建成省级特色小镇，并建设一批省级高新技术特色小镇。</w:t>
      </w:r>
    </w:p>
    <w:p>
      <w:pPr>
        <w:ind w:firstLine="643" w:firstLineChars="200"/>
        <w:rPr>
          <w:rFonts w:ascii="仿宋_GB2312" w:hAnsi="Calibri" w:eastAsia="仿宋_GB2312" w:cs="Times New Roman"/>
          <w:sz w:val="32"/>
          <w:szCs w:val="32"/>
        </w:rPr>
      </w:pPr>
      <w:r>
        <w:rPr>
          <w:rFonts w:hint="eastAsia" w:cs="仿宋_GB2312" w:asciiTheme="minorEastAsia" w:hAnsiTheme="minorEastAsia"/>
          <w:b/>
          <w:bCs/>
          <w:color w:val="000000" w:themeColor="text1"/>
          <w:sz w:val="32"/>
          <w:szCs w:val="32"/>
        </w:rPr>
        <w:t>着眼规划新建，打造台州湾数字经济产业园</w:t>
      </w:r>
      <w:r>
        <w:rPr>
          <w:rFonts w:hint="eastAsia" w:cs="Times New Roman" w:asciiTheme="minorEastAsia" w:hAnsiTheme="minorEastAsia"/>
          <w:b/>
          <w:sz w:val="32"/>
          <w:szCs w:val="32"/>
        </w:rPr>
        <w:t>。</w:t>
      </w:r>
      <w:r>
        <w:rPr>
          <w:rFonts w:hint="eastAsia" w:ascii="宋体" w:hAnsi="宋体" w:eastAsia="宋体" w:cs="Times New Roman"/>
          <w:sz w:val="32"/>
          <w:szCs w:val="32"/>
        </w:rPr>
        <w:t>瞄准数字经济等未来产业，超前谋划一批重量级产业平台，重点推进台州湾数字经济产业园建设。加快园区产业、空间规划，深挖全区全市全省乃至全国的数字经济资源，积极引进落地一批前瞻性的数字经济领域知名领军企业、优质产业数字化项目、数字经济孵化器、创新服务综合体等，集聚一批数字经济创新资源，加快构建数字经济产业链、创新链、服务链、生态链，力争一年打基础，五年出形象。力争到2022年，</w:t>
      </w:r>
      <w:bookmarkStart w:id="21" w:name="_Hlk23922370"/>
      <w:r>
        <w:rPr>
          <w:rFonts w:hint="eastAsia" w:ascii="宋体" w:hAnsi="宋体" w:eastAsia="宋体" w:cs="Times New Roman"/>
          <w:sz w:val="32"/>
          <w:szCs w:val="32"/>
        </w:rPr>
        <w:t>基本完成一期区块和相应基础设施建设</w:t>
      </w:r>
      <w:bookmarkEnd w:id="21"/>
      <w:r>
        <w:rPr>
          <w:rFonts w:hint="eastAsia" w:ascii="宋体" w:hAnsi="宋体" w:eastAsia="宋体" w:cs="Times New Roman"/>
          <w:sz w:val="32"/>
          <w:szCs w:val="32"/>
        </w:rPr>
        <w:t>，智能工厂示范项目、工业互联网示范项目、创新孵化平台基本建成投用，累计完成产业投资50</w:t>
      </w:r>
      <w:bookmarkStart w:id="22" w:name="_Hlk23922389"/>
      <w:r>
        <w:rPr>
          <w:rFonts w:hint="eastAsia" w:ascii="宋体" w:hAnsi="宋体" w:eastAsia="宋体" w:cs="Times New Roman"/>
          <w:sz w:val="32"/>
          <w:szCs w:val="32"/>
        </w:rPr>
        <w:t>亿元。</w:t>
      </w:r>
      <w:bookmarkEnd w:id="22"/>
    </w:p>
    <w:p>
      <w:pPr>
        <w:ind w:firstLine="643" w:firstLineChars="200"/>
        <w:rPr>
          <w:rFonts w:ascii="宋体" w:hAnsi="宋体" w:eastAsia="宋体" w:cs="Times New Roman"/>
          <w:sz w:val="32"/>
          <w:szCs w:val="32"/>
        </w:rPr>
      </w:pPr>
      <w:r>
        <w:rPr>
          <w:rFonts w:hint="eastAsia" w:cs="仿宋_GB2312" w:asciiTheme="minorEastAsia" w:hAnsiTheme="minorEastAsia"/>
          <w:b/>
          <w:bCs/>
          <w:color w:val="000000" w:themeColor="text1"/>
          <w:sz w:val="32"/>
          <w:szCs w:val="32"/>
        </w:rPr>
        <w:t>着眼整合改造，提质建设小微园区。</w:t>
      </w:r>
      <w:r>
        <w:rPr>
          <w:rFonts w:ascii="宋体" w:hAnsi="宋体" w:eastAsia="宋体" w:cs="Times New Roman"/>
          <w:sz w:val="32"/>
          <w:szCs w:val="32"/>
        </w:rPr>
        <w:t>以</w:t>
      </w:r>
      <w:r>
        <w:rPr>
          <w:rFonts w:hint="eastAsia" w:ascii="宋体" w:hAnsi="宋体" w:eastAsia="宋体" w:cs="Times New Roman"/>
          <w:sz w:val="32"/>
          <w:szCs w:val="32"/>
        </w:rPr>
        <w:t>原</w:t>
      </w:r>
      <w:r>
        <w:rPr>
          <w:rFonts w:ascii="宋体" w:hAnsi="宋体" w:eastAsia="宋体" w:cs="Times New Roman"/>
          <w:sz w:val="32"/>
          <w:szCs w:val="32"/>
        </w:rPr>
        <w:t>镇级、村级</w:t>
      </w:r>
      <w:r>
        <w:rPr>
          <w:rFonts w:hint="eastAsia" w:ascii="宋体" w:hAnsi="宋体" w:eastAsia="宋体" w:cs="Times New Roman"/>
          <w:sz w:val="32"/>
          <w:szCs w:val="32"/>
        </w:rPr>
        <w:t>工业功能区</w:t>
      </w:r>
      <w:r>
        <w:rPr>
          <w:rFonts w:ascii="宋体" w:hAnsi="宋体" w:eastAsia="宋体" w:cs="Times New Roman"/>
          <w:sz w:val="32"/>
          <w:szCs w:val="32"/>
        </w:rPr>
        <w:t>为重点，</w:t>
      </w:r>
      <w:r>
        <w:rPr>
          <w:rFonts w:hint="eastAsia" w:ascii="宋体" w:hAnsi="宋体" w:eastAsia="宋体" w:cs="Times New Roman"/>
          <w:sz w:val="32"/>
          <w:szCs w:val="32"/>
        </w:rPr>
        <w:t>大力实施老旧工业点“腾笼”行动，</w:t>
      </w:r>
      <w:r>
        <w:rPr>
          <w:rFonts w:ascii="宋体" w:hAnsi="宋体" w:eastAsia="宋体" w:cs="Times New Roman"/>
          <w:sz w:val="32"/>
          <w:szCs w:val="32"/>
        </w:rPr>
        <w:t>合理转移和退出低端低效产能</w:t>
      </w:r>
      <w:r>
        <w:rPr>
          <w:rFonts w:hint="eastAsia" w:ascii="宋体" w:hAnsi="宋体" w:eastAsia="宋体" w:cs="Times New Roman"/>
          <w:sz w:val="32"/>
          <w:szCs w:val="32"/>
        </w:rPr>
        <w:t>，</w:t>
      </w:r>
      <w:r>
        <w:rPr>
          <w:rFonts w:ascii="宋体" w:hAnsi="宋体" w:eastAsia="宋体" w:cs="Times New Roman"/>
          <w:sz w:val="32"/>
          <w:szCs w:val="32"/>
        </w:rPr>
        <w:t>全面完成老旧工业区块的改造提升工作</w:t>
      </w:r>
      <w:r>
        <w:rPr>
          <w:rFonts w:hint="eastAsia" w:ascii="宋体" w:hAnsi="宋体" w:eastAsia="宋体" w:cs="Times New Roman"/>
          <w:sz w:val="32"/>
          <w:szCs w:val="32"/>
        </w:rPr>
        <w:t>。推广飞跃科创园智慧园区经验，加快推进飞跃科创园三期、聚星科创园、联东U谷科技创新园等小微园区建设。制订《椒江小微工业园提升示范实施办法》，推进小微园区数字化园区提质建设，建立入园企业选择评价和有机更新退出机制，提升标准化管理和专业化运营水平，加大政策支持力度，创建一批示范性数字化小微企业园、特色示范园、星级小微园，打造小微企业工业园升级版。力争到2022年，建成11个小微企业园，培育形成3个左右省级小微企业园，3个智慧小微园示范园区。</w:t>
      </w:r>
    </w:p>
    <w:p>
      <w:pPr>
        <w:ind w:firstLine="640" w:firstLineChars="200"/>
        <w:jc w:val="left"/>
        <w:outlineLvl w:val="1"/>
        <w:rPr>
          <w:rFonts w:ascii="黑体" w:hAnsi="黑体" w:eastAsia="黑体" w:cs="Times New Roman"/>
          <w:sz w:val="32"/>
          <w:szCs w:val="32"/>
        </w:rPr>
      </w:pPr>
      <w:bookmarkStart w:id="23" w:name="_Toc44333983"/>
      <w:r>
        <w:rPr>
          <w:rFonts w:ascii="黑体" w:hAnsi="黑体" w:eastAsia="黑体" w:cs="Times New Roman"/>
          <w:sz w:val="32"/>
          <w:szCs w:val="32"/>
        </w:rPr>
        <w:t>（四）企业主体培育行动</w:t>
      </w:r>
      <w:bookmarkEnd w:id="23"/>
    </w:p>
    <w:p>
      <w:pPr>
        <w:spacing w:line="610" w:lineRule="exact"/>
        <w:ind w:firstLine="643" w:firstLineChars="200"/>
        <w:rPr>
          <w:rFonts w:ascii="宋体" w:hAnsi="宋体" w:eastAsia="宋体" w:cs="仿宋_GB2312"/>
          <w:color w:val="000000" w:themeColor="text1"/>
          <w:kern w:val="0"/>
          <w:sz w:val="32"/>
          <w:szCs w:val="32"/>
        </w:rPr>
      </w:pPr>
      <w:r>
        <w:rPr>
          <w:rFonts w:hint="eastAsia" w:ascii="宋体" w:hAnsi="宋体" w:eastAsia="宋体" w:cs="仿宋_GB2312"/>
          <w:b/>
          <w:color w:val="000000" w:themeColor="text1"/>
          <w:kern w:val="0"/>
          <w:sz w:val="32"/>
          <w:szCs w:val="32"/>
        </w:rPr>
        <w:t>扶持一批龙头示范企业。</w:t>
      </w:r>
      <w:r>
        <w:rPr>
          <w:rFonts w:hint="eastAsia" w:ascii="宋体" w:hAnsi="宋体" w:eastAsia="宋体" w:cs="Times New Roman"/>
          <w:sz w:val="32"/>
          <w:szCs w:val="32"/>
        </w:rPr>
        <w:t>鼓励巨龙企业并购重组裂变扩张，围绕椒江区重点产业领域选择一批优势企业和</w:t>
      </w:r>
      <w:r>
        <w:rPr>
          <w:rFonts w:hint="eastAsia" w:ascii="宋体" w:hAnsi="宋体" w:eastAsia="宋体" w:cs="仿宋_GB2312"/>
          <w:color w:val="000000" w:themeColor="text1"/>
          <w:kern w:val="0"/>
          <w:sz w:val="32"/>
          <w:szCs w:val="32"/>
        </w:rPr>
        <w:t>“绩优股”予以重点扶持</w:t>
      </w:r>
      <w:r>
        <w:rPr>
          <w:rFonts w:hint="eastAsia" w:ascii="宋体" w:hAnsi="宋体" w:eastAsia="宋体" w:cs="Times New Roman"/>
          <w:sz w:val="32"/>
          <w:szCs w:val="32"/>
        </w:rPr>
        <w:t>，鼓励和支持其通过开展“四换三名”、智能升级、研发创新、品牌提升、兼并重组上市、融合发展等举措，加快打造行业标杆龙头企业，</w:t>
      </w:r>
      <w:r>
        <w:rPr>
          <w:rFonts w:hint="eastAsia" w:ascii="宋体" w:hAnsi="宋体" w:eastAsia="宋体" w:cs="仿宋_GB2312"/>
          <w:color w:val="000000" w:themeColor="text1"/>
          <w:kern w:val="0"/>
          <w:sz w:val="32"/>
          <w:szCs w:val="32"/>
        </w:rPr>
        <w:t>实现“做大一个、跟进一批、带动一片”。力争到2022年全区列入省级雄鹰培育企业2家，列入市级培育航母企业1家，旗舰企业2家，新增瞪羚企业12家。</w:t>
      </w:r>
    </w:p>
    <w:p>
      <w:pPr>
        <w:pStyle w:val="21"/>
        <w:spacing w:before="0" w:beforeAutospacing="0" w:after="0" w:afterAutospacing="0"/>
        <w:ind w:left="0" w:leftChars="0" w:firstLine="643"/>
        <w:rPr>
          <w:rFonts w:ascii="仿宋_GB2312" w:hAnsi="仿宋_GB2312" w:eastAsia="仿宋_GB2312" w:cs="仿宋_GB2312"/>
          <w:sz w:val="32"/>
          <w:szCs w:val="32"/>
        </w:rPr>
      </w:pPr>
      <w:r>
        <w:rPr>
          <w:rFonts w:hint="eastAsia" w:asciiTheme="minorEastAsia" w:hAnsiTheme="minorEastAsia" w:eastAsiaTheme="minorEastAsia"/>
          <w:b/>
          <w:sz w:val="32"/>
          <w:szCs w:val="32"/>
        </w:rPr>
        <w:t>培育一批上市公司和高新技术企业。</w:t>
      </w:r>
      <w:r>
        <w:rPr>
          <w:rFonts w:hint="eastAsia" w:asciiTheme="minorEastAsia" w:hAnsiTheme="minorEastAsia" w:eastAsiaTheme="minorEastAsia"/>
          <w:sz w:val="32"/>
          <w:szCs w:val="32"/>
        </w:rPr>
        <w:t>实施企业上市培育计划，</w:t>
      </w:r>
      <w:r>
        <w:rPr>
          <w:rFonts w:asciiTheme="minorEastAsia" w:hAnsiTheme="minorEastAsia" w:eastAsiaTheme="minorEastAsia"/>
          <w:sz w:val="32"/>
          <w:szCs w:val="32"/>
        </w:rPr>
        <w:t>建立健全分层次、分类别、分梯队的上市企业培育名单</w:t>
      </w:r>
      <w:r>
        <w:rPr>
          <w:rFonts w:hint="eastAsia" w:asciiTheme="minorEastAsia" w:hAnsiTheme="minorEastAsia" w:eastAsiaTheme="minorEastAsia"/>
          <w:sz w:val="32"/>
          <w:szCs w:val="32"/>
        </w:rPr>
        <w:t>。强化33家企业上市挂牌后备企业库、10家重点拟上市企业库的动态调整和培育跟踪，做好“保姆式”全程跟踪指导和全方位服务。</w:t>
      </w:r>
      <w:r>
        <w:rPr>
          <w:rFonts w:asciiTheme="minorEastAsia" w:hAnsiTheme="minorEastAsia" w:eastAsiaTheme="minorEastAsia"/>
          <w:sz w:val="32"/>
          <w:szCs w:val="32"/>
        </w:rPr>
        <w:t>加快民营企业股份制改造向纵深推进</w:t>
      </w:r>
      <w:r>
        <w:rPr>
          <w:rFonts w:hint="eastAsia" w:asciiTheme="minorEastAsia" w:hAnsiTheme="minorEastAsia" w:eastAsiaTheme="minorEastAsia"/>
          <w:sz w:val="32"/>
          <w:szCs w:val="32"/>
        </w:rPr>
        <w:t>，</w:t>
      </w:r>
      <w:r>
        <w:rPr>
          <w:rFonts w:asciiTheme="minorEastAsia" w:hAnsiTheme="minorEastAsia" w:eastAsiaTheme="minorEastAsia"/>
          <w:sz w:val="32"/>
          <w:szCs w:val="32"/>
        </w:rPr>
        <w:t>支持优势企业开展并购重组。</w:t>
      </w:r>
      <w:r>
        <w:rPr>
          <w:rFonts w:hint="eastAsia" w:asciiTheme="minorEastAsia" w:hAnsiTheme="minorEastAsia" w:eastAsiaTheme="minorEastAsia"/>
          <w:sz w:val="32"/>
          <w:szCs w:val="32"/>
        </w:rPr>
        <w:t>引导符合条件的企业尤其是蛟龙企业到境内外上市、新三板和区域性股权市场挂牌，打造多层次资本市场“椒江板块”。加大高新技术企业培育力度，积极推动高成长科技型企业登陆资本市场。到2022年，力争上市企业累计达到15家以上，高新技术企业数量翻番</w:t>
      </w:r>
      <w:r>
        <w:rPr>
          <w:rFonts w:hint="eastAsia" w:ascii="仿宋_GB2312" w:hAnsi="Calibri" w:eastAsia="仿宋_GB2312"/>
          <w:sz w:val="32"/>
          <w:szCs w:val="32"/>
        </w:rPr>
        <w:t>。</w:t>
      </w:r>
    </w:p>
    <w:p>
      <w:pPr>
        <w:ind w:firstLine="643" w:firstLineChars="200"/>
        <w:rPr>
          <w:rFonts w:ascii="Times New Roman" w:hAnsi="Times New Roman" w:eastAsia="宋体" w:cs="Times New Roman"/>
          <w:color w:val="000000"/>
          <w:kern w:val="0"/>
          <w:sz w:val="32"/>
          <w:szCs w:val="32"/>
        </w:rPr>
      </w:pPr>
      <w:r>
        <w:rPr>
          <w:rFonts w:hint="eastAsia" w:ascii="Times New Roman" w:hAnsi="Times New Roman" w:cs="Times New Roman"/>
          <w:b/>
          <w:sz w:val="32"/>
          <w:szCs w:val="32"/>
        </w:rPr>
        <w:t>打造一批“专精特新”中小企业队伍。</w:t>
      </w:r>
      <w:r>
        <w:rPr>
          <w:rFonts w:hint="eastAsia" w:ascii="Times New Roman" w:hAnsi="Times New Roman" w:eastAsia="宋体" w:cs="Times New Roman"/>
          <w:color w:val="000000"/>
          <w:kern w:val="0"/>
          <w:sz w:val="32"/>
          <w:szCs w:val="32"/>
        </w:rPr>
        <w:t>开展“专精特新”培育计划，建立重点企业培育库，筛选一批高成长性的中小企业，紧紧围绕“专精特新”方向，推动小微企业向专业化、精品化、特色化、创新化发展，积极引导企业走“专精特新”发展道路，树立创新理念，构建竞争优势，进入产业集群，融入大企业配套体系，在资金扶持、创新指导、发展空间、人才引进等方面给予倾斜支持。遴选一批专注细分产品市场、技术工艺领先的中小企业，建立“隐形冠军”企业培育库，制订培育计划和扶持措施，鼓励企业实施智能制造、上云示范、研发创新等途径，打造一批冠军企业。力争至2022年，“单项、隐形冠军”企业5家，新增市级专精特新“小巨人”企业15家。</w:t>
      </w:r>
    </w:p>
    <w:p>
      <w:pPr>
        <w:spacing w:line="610" w:lineRule="exact"/>
        <w:ind w:firstLine="643" w:firstLineChars="200"/>
        <w:rPr>
          <w:rFonts w:ascii="仿宋_GB2312" w:hAnsi="宋体" w:eastAsia="仿宋_GB2312" w:cs="仿宋_GB2312"/>
          <w:color w:val="000000" w:themeColor="text1"/>
          <w:kern w:val="0"/>
          <w:sz w:val="32"/>
          <w:szCs w:val="32"/>
        </w:rPr>
      </w:pPr>
      <w:r>
        <w:rPr>
          <w:rFonts w:hint="eastAsia" w:ascii="Times New Roman" w:hAnsi="Times New Roman" w:cs="Times New Roman"/>
          <w:b/>
          <w:sz w:val="32"/>
          <w:szCs w:val="32"/>
        </w:rPr>
        <w:t>加快一批小微企业上规升级。</w:t>
      </w:r>
      <w:r>
        <w:rPr>
          <w:rFonts w:hint="eastAsia" w:ascii="Times New Roman" w:hAnsi="Times New Roman" w:eastAsia="宋体" w:cs="Times New Roman"/>
          <w:color w:val="000000"/>
          <w:kern w:val="0"/>
          <w:sz w:val="32"/>
          <w:szCs w:val="32"/>
        </w:rPr>
        <w:t>实施小微企业三年成长计划，出台小微企业升规转型的激励政策，不断加强小微企业培育、规范、提升，促进产业结构优化升级。积极为小微企业提升做好服务，邀请优秀的机构、专家为小微企业开展精细化管理培训，全面提高小微企业主管理能力和水平。支持潜龙、幼龙企业发展壮大。深化“个转企、小升规、规改股、股上市”工作，促进小微企业成长为“规上”企业。筛选一批成长性较好、符合产业发展导向的规下工业企业，建立小升规潜力企业动态培育库，动态监测企业运行情况，至2022年，新增规上企业80家。</w:t>
      </w:r>
    </w:p>
    <w:p>
      <w:pPr>
        <w:ind w:firstLine="640" w:firstLineChars="200"/>
        <w:jc w:val="left"/>
        <w:outlineLvl w:val="1"/>
        <w:rPr>
          <w:rFonts w:ascii="黑体" w:hAnsi="黑体" w:eastAsia="黑体" w:cs="Times New Roman"/>
          <w:sz w:val="32"/>
          <w:szCs w:val="32"/>
        </w:rPr>
      </w:pPr>
      <w:bookmarkStart w:id="24" w:name="_Toc44333984"/>
      <w:r>
        <w:rPr>
          <w:rFonts w:ascii="黑体" w:hAnsi="黑体" w:eastAsia="黑体" w:cs="Times New Roman"/>
          <w:sz w:val="32"/>
          <w:szCs w:val="32"/>
        </w:rPr>
        <w:t>（五）制造服务融合行动</w:t>
      </w:r>
      <w:bookmarkEnd w:id="24"/>
    </w:p>
    <w:p>
      <w:pPr>
        <w:ind w:firstLine="643" w:firstLineChars="200"/>
        <w:rPr>
          <w:rFonts w:ascii="Times New Roman" w:hAnsi="Times New Roman" w:cs="Times New Roman"/>
          <w:color w:val="000000"/>
          <w:kern w:val="0"/>
          <w:sz w:val="32"/>
          <w:szCs w:val="32"/>
        </w:rPr>
      </w:pPr>
      <w:r>
        <w:rPr>
          <w:rFonts w:ascii="Times New Roman" w:hAnsi="Times New Roman" w:cs="Times New Roman"/>
          <w:b/>
          <w:sz w:val="32"/>
          <w:szCs w:val="32"/>
        </w:rPr>
        <w:t>大力发展服务型制造。</w:t>
      </w:r>
      <w:r>
        <w:rPr>
          <w:rFonts w:ascii="Times New Roman" w:hAnsi="Times New Roman" w:cs="Times New Roman"/>
          <w:sz w:val="32"/>
          <w:szCs w:val="32"/>
        </w:rPr>
        <w:t>实施制造业服务化示范企业培育行动，</w:t>
      </w:r>
      <w:r>
        <w:rPr>
          <w:rFonts w:ascii="Times New Roman" w:hAnsi="Times New Roman" w:cs="Times New Roman"/>
          <w:color w:val="000000"/>
          <w:kern w:val="0"/>
          <w:sz w:val="32"/>
          <w:szCs w:val="32"/>
        </w:rPr>
        <w:t>引导和支持制造业企业延伸服务链条，从主要提供产品制造向提供“产品+服务</w:t>
      </w:r>
      <w:r>
        <w:rPr>
          <w:rFonts w:ascii="Times New Roman" w:hAnsi="Times New Roman" w:cs="Times New Roman"/>
          <w:sz w:val="32"/>
          <w:szCs w:val="32"/>
        </w:rPr>
        <w:t>+技术+系统解决方案</w:t>
      </w:r>
      <w:r>
        <w:rPr>
          <w:rFonts w:ascii="Times New Roman" w:hAnsi="Times New Roman" w:cs="Times New Roman"/>
          <w:color w:val="000000"/>
          <w:kern w:val="0"/>
          <w:sz w:val="32"/>
          <w:szCs w:val="32"/>
        </w:rPr>
        <w:t>”转变。鼓励制造企业以增加服务环节投入、“裂变”专业优势等形式培育新的业务形态，发展总集成总承包、个性化定制、专业化社会化服务、融资租赁、网络精准营销、全生命周期管理以及在线支持服务、整体解决方案、供应链管理等</w:t>
      </w:r>
      <w:r>
        <w:rPr>
          <w:rFonts w:ascii="Times New Roman" w:cs="Times New Roman"/>
          <w:color w:val="000000"/>
          <w:kern w:val="0"/>
          <w:sz w:val="32"/>
          <w:szCs w:val="32"/>
        </w:rPr>
        <w:t>新型商业模式</w:t>
      </w:r>
      <w:r>
        <w:rPr>
          <w:rFonts w:ascii="Times New Roman" w:hAnsi="Times New Roman" w:cs="Times New Roman"/>
          <w:color w:val="000000"/>
          <w:kern w:val="0"/>
          <w:sz w:val="32"/>
          <w:szCs w:val="32"/>
        </w:rPr>
        <w:t>。到2022年，力争培育7家省级以上服务型制造示范企业。</w:t>
      </w:r>
    </w:p>
    <w:p>
      <w:pPr>
        <w:ind w:firstLine="643" w:firstLineChars="200"/>
        <w:rPr>
          <w:rFonts w:ascii="Times New Roman" w:hAnsi="Times New Roman" w:cs="Times New Roman"/>
          <w:sz w:val="32"/>
          <w:szCs w:val="32"/>
        </w:rPr>
      </w:pPr>
      <w:r>
        <w:rPr>
          <w:rFonts w:ascii="Times New Roman" w:cs="Times New Roman"/>
          <w:b/>
          <w:color w:val="000000"/>
          <w:kern w:val="0"/>
          <w:sz w:val="32"/>
          <w:szCs w:val="32"/>
        </w:rPr>
        <w:t>积极发展生产性服务业。</w:t>
      </w:r>
      <w:r>
        <w:rPr>
          <w:rFonts w:hint="eastAsia" w:ascii="Times New Roman" w:hAnsi="Times New Roman" w:cs="Times New Roman"/>
          <w:color w:val="000000"/>
          <w:kern w:val="0"/>
          <w:sz w:val="32"/>
          <w:szCs w:val="32"/>
        </w:rPr>
        <w:t>做大做强金融业，力促各类金融机构区域性总部或分支机构在椒江落地，提升金融产业规模和实力。着力培育会计、法律、资产评估、资信评级、知识产权等中介服务组织，构建专业化的中介服务体系；</w:t>
      </w:r>
      <w:r>
        <w:rPr>
          <w:rFonts w:ascii="Times New Roman" w:hAnsi="Times New Roman" w:cs="Times New Roman"/>
          <w:color w:val="000000"/>
          <w:kern w:val="0"/>
          <w:sz w:val="32"/>
          <w:szCs w:val="32"/>
        </w:rPr>
        <w:t>大力发展工业设计，建设一批设计基地和中心，</w:t>
      </w:r>
      <w:r>
        <w:rPr>
          <w:rFonts w:ascii="Times New Roman" w:hAnsi="Times New Roman" w:eastAsia="宋体" w:cs="Times New Roman"/>
          <w:color w:val="000000"/>
          <w:kern w:val="0"/>
          <w:sz w:val="32"/>
          <w:szCs w:val="32"/>
        </w:rPr>
        <w:t>加快</w:t>
      </w:r>
      <w:r>
        <w:rPr>
          <w:rFonts w:ascii="Times New Roman" w:hAnsi="Times New Roman" w:cs="Times New Roman"/>
          <w:color w:val="000000"/>
          <w:kern w:val="0"/>
          <w:sz w:val="32"/>
          <w:szCs w:val="32"/>
        </w:rPr>
        <w:t>设计</w:t>
      </w:r>
      <w:r>
        <w:rPr>
          <w:rFonts w:ascii="Times New Roman" w:hAnsi="Times New Roman" w:eastAsia="宋体" w:cs="Times New Roman"/>
          <w:color w:val="000000"/>
          <w:kern w:val="0"/>
          <w:sz w:val="32"/>
          <w:szCs w:val="32"/>
        </w:rPr>
        <w:t>产业集群化布局</w:t>
      </w:r>
      <w:r>
        <w:rPr>
          <w:rFonts w:ascii="Times New Roman" w:hAnsi="Times New Roman" w:cs="Times New Roman"/>
          <w:color w:val="000000"/>
          <w:kern w:val="0"/>
          <w:sz w:val="32"/>
          <w:szCs w:val="32"/>
        </w:rPr>
        <w:t>，探索推广工业设计创新券。</w:t>
      </w:r>
      <w:r>
        <w:rPr>
          <w:rFonts w:ascii="Times New Roman" w:hAnsi="Times New Roman" w:eastAsia="宋体" w:cs="Times New Roman"/>
          <w:color w:val="000000"/>
          <w:kern w:val="0"/>
          <w:sz w:val="32"/>
          <w:szCs w:val="32"/>
        </w:rPr>
        <w:t>推进产业物流发展，加快椒江东部物流中心等项目建设，重点发展</w:t>
      </w:r>
      <w:r>
        <w:rPr>
          <w:rFonts w:hint="eastAsia" w:ascii="Times New Roman" w:hAnsi="Calibri" w:eastAsia="宋体" w:cs="Times New Roman"/>
          <w:color w:val="000000"/>
          <w:kern w:val="0"/>
          <w:sz w:val="32"/>
          <w:szCs w:val="32"/>
        </w:rPr>
        <w:t>医药化工</w:t>
      </w:r>
      <w:r>
        <w:rPr>
          <w:rFonts w:ascii="Times New Roman" w:hAnsi="Calibri" w:eastAsia="宋体" w:cs="Times New Roman"/>
          <w:color w:val="000000"/>
          <w:kern w:val="0"/>
          <w:sz w:val="32"/>
          <w:szCs w:val="32"/>
        </w:rPr>
        <w:t>、智能卫浴、光电子、缝制设备等优势产业基地型物流。</w:t>
      </w:r>
      <w:r>
        <w:rPr>
          <w:rFonts w:ascii="Times New Roman" w:cs="Times New Roman"/>
          <w:color w:val="000000"/>
          <w:kern w:val="0"/>
          <w:sz w:val="32"/>
          <w:szCs w:val="32"/>
        </w:rPr>
        <w:t>积极发展会展</w:t>
      </w:r>
      <w:r>
        <w:rPr>
          <w:rFonts w:ascii="Times New Roman" w:hAnsi="Times New Roman" w:cs="Times New Roman"/>
          <w:color w:val="000000"/>
          <w:kern w:val="0"/>
          <w:sz w:val="32"/>
          <w:szCs w:val="32"/>
        </w:rPr>
        <w:t>业，加快推进新会展中心建设，打造一批专业化品牌化会展，</w:t>
      </w:r>
      <w:r>
        <w:rPr>
          <w:rFonts w:ascii="Times New Roman" w:hAnsi="Times New Roman" w:cs="Times New Roman"/>
          <w:sz w:val="32"/>
          <w:szCs w:val="32"/>
        </w:rPr>
        <w:t>助推产业转型提质</w:t>
      </w:r>
      <w:r>
        <w:rPr>
          <w:rFonts w:ascii="Times New Roman" w:hAnsi="Times New Roman" w:cs="Times New Roman"/>
          <w:color w:val="000000"/>
          <w:kern w:val="0"/>
          <w:sz w:val="32"/>
          <w:szCs w:val="32"/>
        </w:rPr>
        <w:t>。实施“扫楼扫街”行动，</w:t>
      </w:r>
      <w:r>
        <w:rPr>
          <w:rFonts w:ascii="Times New Roman" w:hAnsi="Times New Roman" w:eastAsia="宋体" w:cs="Times New Roman"/>
          <w:sz w:val="32"/>
          <w:szCs w:val="32"/>
        </w:rPr>
        <w:t>以</w:t>
      </w:r>
      <w:r>
        <w:rPr>
          <w:rFonts w:ascii="Times New Roman" w:hAnsi="Times New Roman" w:cs="Times New Roman"/>
          <w:sz w:val="32"/>
          <w:szCs w:val="32"/>
        </w:rPr>
        <w:t>一江两岸</w:t>
      </w:r>
      <w:r>
        <w:rPr>
          <w:rFonts w:ascii="Times New Roman" w:hAnsi="Times New Roman" w:eastAsia="宋体" w:cs="Times New Roman"/>
          <w:sz w:val="32"/>
          <w:szCs w:val="32"/>
        </w:rPr>
        <w:t>、商贸核心区等总部经济集聚区块为依托，吸引椒江本地</w:t>
      </w:r>
      <w:r>
        <w:rPr>
          <w:rFonts w:ascii="Times New Roman" w:hAnsi="Times New Roman" w:cs="Times New Roman"/>
          <w:sz w:val="32"/>
          <w:szCs w:val="32"/>
        </w:rPr>
        <w:t>龙头骨干</w:t>
      </w:r>
      <w:r>
        <w:rPr>
          <w:rFonts w:ascii="Times New Roman" w:hAnsi="Times New Roman" w:eastAsia="宋体" w:cs="Times New Roman"/>
          <w:sz w:val="32"/>
          <w:szCs w:val="32"/>
        </w:rPr>
        <w:t>企业进驻，</w:t>
      </w:r>
      <w:r>
        <w:rPr>
          <w:rFonts w:ascii="Times New Roman" w:hAnsi="Times New Roman" w:cs="Times New Roman"/>
          <w:sz w:val="32"/>
          <w:szCs w:val="32"/>
        </w:rPr>
        <w:t>招引</w:t>
      </w:r>
      <w:r>
        <w:rPr>
          <w:rFonts w:ascii="Times New Roman" w:hAnsi="Times New Roman" w:eastAsia="宋体" w:cs="Times New Roman"/>
          <w:sz w:val="32"/>
          <w:szCs w:val="32"/>
        </w:rPr>
        <w:t>国内外企业及在外台州商人</w:t>
      </w:r>
      <w:r>
        <w:rPr>
          <w:rFonts w:hint="eastAsia" w:ascii="Times New Roman" w:hAnsi="Times New Roman" w:eastAsia="宋体" w:cs="Times New Roman"/>
          <w:sz w:val="32"/>
          <w:szCs w:val="32"/>
        </w:rPr>
        <w:t>来椒</w:t>
      </w:r>
      <w:r>
        <w:rPr>
          <w:rFonts w:ascii="Times New Roman" w:hAnsi="Times New Roman" w:eastAsia="宋体" w:cs="Times New Roman"/>
          <w:sz w:val="32"/>
          <w:szCs w:val="32"/>
        </w:rPr>
        <w:t>设立综合性总部、区域性总部及功能性机构</w:t>
      </w:r>
      <w:r>
        <w:rPr>
          <w:rFonts w:ascii="Times New Roman" w:hAnsi="Times New Roman" w:cs="Times New Roman"/>
          <w:sz w:val="32"/>
          <w:szCs w:val="32"/>
        </w:rPr>
        <w:t>，培育一批税收亿元楼宇。</w:t>
      </w:r>
      <w:r>
        <w:rPr>
          <w:rFonts w:ascii="Times New Roman" w:hAnsi="Times New Roman" w:cs="Times New Roman"/>
          <w:color w:val="000000"/>
          <w:kern w:val="0"/>
          <w:sz w:val="32"/>
          <w:szCs w:val="32"/>
        </w:rPr>
        <w:t>加快发展</w:t>
      </w:r>
      <w:r>
        <w:rPr>
          <w:rFonts w:ascii="Times New Roman" w:hAnsi="Times New Roman" w:eastAsia="宋体" w:cs="Times New Roman"/>
          <w:sz w:val="32"/>
          <w:szCs w:val="32"/>
        </w:rPr>
        <w:t>电子商务，积极发展垂直电商、跨境电商、C2M等新模式，</w:t>
      </w:r>
      <w:r>
        <w:rPr>
          <w:rFonts w:ascii="Times New Roman" w:hAnsi="Times New Roman" w:cs="Times New Roman"/>
          <w:sz w:val="32"/>
          <w:szCs w:val="32"/>
        </w:rPr>
        <w:t>进一步</w:t>
      </w:r>
      <w:r>
        <w:rPr>
          <w:rFonts w:ascii="Times New Roman" w:hAnsi="Times New Roman" w:eastAsia="宋体" w:cs="Times New Roman"/>
          <w:sz w:val="32"/>
          <w:szCs w:val="32"/>
        </w:rPr>
        <w:t>提升星星电子商务产业园、跨境电子商务产业园等园区功能</w:t>
      </w:r>
      <w:r>
        <w:rPr>
          <w:rFonts w:ascii="Times New Roman" w:hAnsi="Times New Roman" w:cs="Times New Roman"/>
          <w:sz w:val="32"/>
          <w:szCs w:val="32"/>
        </w:rPr>
        <w:t>。</w:t>
      </w:r>
      <w:r>
        <w:rPr>
          <w:rFonts w:hint="eastAsia" w:ascii="Times New Roman" w:hAnsi="Times New Roman" w:cs="Times New Roman"/>
          <w:sz w:val="32"/>
          <w:szCs w:val="32"/>
        </w:rPr>
        <w:t>以家电产业入选“浙江省产业集群跨境电子商务发展试点”为契机，引导和推动服装机械、卫浴产品、家用电器等重点行业发展跨境电商业务。</w:t>
      </w:r>
      <w:r>
        <w:rPr>
          <w:rFonts w:ascii="Times New Roman" w:hAnsi="Times New Roman" w:cs="Times New Roman"/>
          <w:sz w:val="32"/>
          <w:szCs w:val="32"/>
        </w:rPr>
        <w:t>大力发展服务外包，</w:t>
      </w:r>
      <w:r>
        <w:rPr>
          <w:rFonts w:ascii="Times New Roman" w:hAnsi="Times New Roman" w:eastAsia="宋体" w:cs="Times New Roman"/>
          <w:sz w:val="32"/>
          <w:szCs w:val="32"/>
        </w:rPr>
        <w:t>加快建设一批服务贸易外包平台，做大做强医药</w:t>
      </w:r>
      <w:r>
        <w:rPr>
          <w:rFonts w:hint="eastAsia" w:ascii="Times New Roman" w:hAnsi="Times New Roman" w:eastAsia="宋体" w:cs="Times New Roman"/>
          <w:sz w:val="32"/>
          <w:szCs w:val="32"/>
        </w:rPr>
        <w:t>化工</w:t>
      </w:r>
      <w:r>
        <w:rPr>
          <w:rFonts w:ascii="Times New Roman" w:hAnsi="Times New Roman" w:eastAsia="宋体" w:cs="Times New Roman"/>
          <w:sz w:val="32"/>
          <w:szCs w:val="32"/>
        </w:rPr>
        <w:t>行业服务外包，积极拓展人才、研发、设计等新型服务外包领域。</w:t>
      </w:r>
    </w:p>
    <w:p>
      <w:pPr>
        <w:ind w:firstLine="643" w:firstLineChars="200"/>
        <w:rPr>
          <w:rFonts w:ascii="Times New Roman" w:hAnsi="Times New Roman" w:eastAsia="宋体" w:cs="Times New Roman"/>
          <w:color w:val="000000"/>
          <w:kern w:val="0"/>
          <w:sz w:val="32"/>
          <w:szCs w:val="32"/>
        </w:rPr>
      </w:pPr>
      <w:r>
        <w:rPr>
          <w:rFonts w:ascii="Times New Roman" w:cs="Times New Roman"/>
          <w:b/>
          <w:color w:val="000000"/>
          <w:kern w:val="0"/>
          <w:sz w:val="32"/>
          <w:szCs w:val="32"/>
        </w:rPr>
        <w:t>推进服务业集聚区建设。</w:t>
      </w:r>
      <w:r>
        <w:rPr>
          <w:rFonts w:ascii="Times New Roman" w:hAnsi="Times New Roman" w:eastAsia="宋体" w:cs="Times New Roman"/>
          <w:color w:val="000000"/>
          <w:kern w:val="0"/>
          <w:sz w:val="32"/>
          <w:szCs w:val="32"/>
        </w:rPr>
        <w:t>按照“专业化、高端化、特色化、精品化”发展要求，加快打造一批业态新、功能全、配套优的现代服务业集聚平台</w:t>
      </w:r>
      <w:r>
        <w:rPr>
          <w:rFonts w:ascii="Times New Roman" w:hAnsi="Times New Roman" w:cs="Times New Roman"/>
          <w:color w:val="000000"/>
          <w:kern w:val="0"/>
          <w:sz w:val="32"/>
          <w:szCs w:val="32"/>
        </w:rPr>
        <w:t>。</w:t>
      </w:r>
      <w:r>
        <w:rPr>
          <w:rFonts w:ascii="Times New Roman" w:hAnsi="Times New Roman" w:eastAsia="宋体" w:cs="Times New Roman"/>
          <w:color w:val="000000"/>
          <w:kern w:val="0"/>
          <w:sz w:val="32"/>
          <w:szCs w:val="32"/>
        </w:rPr>
        <w:t>推进综合性服务功能区</w:t>
      </w:r>
      <w:r>
        <w:rPr>
          <w:rFonts w:ascii="Times New Roman" w:hAnsi="Times New Roman" w:cs="Times New Roman"/>
          <w:color w:val="000000"/>
          <w:kern w:val="0"/>
          <w:sz w:val="32"/>
          <w:szCs w:val="32"/>
        </w:rPr>
        <w:t>建设</w:t>
      </w:r>
      <w:r>
        <w:rPr>
          <w:rFonts w:ascii="Times New Roman" w:hAnsi="Times New Roman" w:eastAsia="宋体" w:cs="Times New Roman"/>
          <w:color w:val="000000"/>
          <w:kern w:val="0"/>
          <w:sz w:val="32"/>
          <w:szCs w:val="32"/>
        </w:rPr>
        <w:t>，全力打造台州商贸核心区、一江两岸、高铁新区等三大综合性服务业集聚平台</w:t>
      </w:r>
      <w:r>
        <w:rPr>
          <w:rFonts w:ascii="Times New Roman" w:hAnsi="Times New Roman" w:cs="Times New Roman"/>
          <w:color w:val="000000"/>
          <w:kern w:val="0"/>
          <w:sz w:val="32"/>
          <w:szCs w:val="32"/>
        </w:rPr>
        <w:t>。强化</w:t>
      </w:r>
      <w:r>
        <w:rPr>
          <w:rFonts w:ascii="Times New Roman" w:hAnsi="Times New Roman" w:eastAsia="宋体" w:cs="Times New Roman"/>
          <w:color w:val="000000"/>
          <w:kern w:val="0"/>
          <w:sz w:val="32"/>
          <w:szCs w:val="32"/>
        </w:rPr>
        <w:t>专业特色服务功能区</w:t>
      </w:r>
      <w:r>
        <w:rPr>
          <w:rFonts w:ascii="Times New Roman" w:hAnsi="Times New Roman" w:cs="Times New Roman"/>
          <w:color w:val="000000"/>
          <w:kern w:val="0"/>
          <w:sz w:val="32"/>
          <w:szCs w:val="32"/>
        </w:rPr>
        <w:t>建设，</w:t>
      </w:r>
      <w:r>
        <w:rPr>
          <w:rFonts w:ascii="Times New Roman" w:hAnsi="Times New Roman" w:eastAsia="宋体" w:cs="Times New Roman"/>
          <w:color w:val="000000"/>
          <w:kern w:val="0"/>
          <w:sz w:val="32"/>
          <w:szCs w:val="32"/>
        </w:rPr>
        <w:t>依托微金融小镇和市府大道金融一条街，打造金融集聚区。围绕海门港、产业集聚区和工业园区，推进海门港物流集聚区、椒江东部物流中心建设，建设现代物流服务功能区。</w:t>
      </w:r>
      <w:r>
        <w:rPr>
          <w:rFonts w:hint="eastAsia" w:ascii="Times New Roman" w:hAnsi="Times New Roman" w:eastAsia="宋体" w:cs="Times New Roman"/>
          <w:color w:val="000000"/>
          <w:kern w:val="0"/>
          <w:sz w:val="32"/>
          <w:szCs w:val="32"/>
        </w:rPr>
        <w:t>大力</w:t>
      </w:r>
      <w:r>
        <w:rPr>
          <w:rFonts w:ascii="Times New Roman" w:hAnsi="Times New Roman" w:eastAsia="宋体" w:cs="Times New Roman"/>
          <w:color w:val="000000"/>
          <w:kern w:val="0"/>
          <w:sz w:val="32"/>
          <w:szCs w:val="32"/>
        </w:rPr>
        <w:t>推动</w:t>
      </w:r>
      <w:r>
        <w:rPr>
          <w:rFonts w:hint="eastAsia" w:ascii="Times New Roman" w:hAnsi="Times New Roman" w:eastAsia="宋体" w:cs="Times New Roman"/>
          <w:color w:val="000000"/>
          <w:kern w:val="0"/>
          <w:sz w:val="32"/>
          <w:szCs w:val="32"/>
        </w:rPr>
        <w:t>椒江区</w:t>
      </w:r>
      <w:r>
        <w:rPr>
          <w:rFonts w:ascii="Times New Roman" w:hAnsi="Times New Roman" w:eastAsia="宋体" w:cs="Times New Roman"/>
          <w:color w:val="000000"/>
          <w:kern w:val="0"/>
          <w:sz w:val="32"/>
          <w:szCs w:val="32"/>
        </w:rPr>
        <w:t>科技服务功能区建设</w:t>
      </w:r>
      <w:r>
        <w:rPr>
          <w:rFonts w:hint="eastAsia" w:ascii="Times New Roman" w:hAnsi="Times New Roman" w:eastAsia="宋体" w:cs="Times New Roman"/>
          <w:color w:val="000000"/>
          <w:kern w:val="0"/>
          <w:sz w:val="32"/>
          <w:szCs w:val="32"/>
        </w:rPr>
        <w:t>，</w:t>
      </w:r>
      <w:r>
        <w:rPr>
          <w:rFonts w:ascii="Times New Roman" w:hAnsi="Times New Roman" w:eastAsia="宋体" w:cs="Times New Roman"/>
          <w:color w:val="000000"/>
          <w:kern w:val="0"/>
          <w:sz w:val="32"/>
          <w:szCs w:val="32"/>
        </w:rPr>
        <w:t>支持有条件的工业园区、小微园区建设生产性服务业综合性园区。</w:t>
      </w:r>
      <w:r>
        <w:rPr>
          <w:rFonts w:hint="eastAsia" w:ascii="Times New Roman" w:hAnsi="Times New Roman" w:eastAsia="宋体" w:cs="Times New Roman"/>
          <w:color w:val="000000"/>
          <w:kern w:val="0"/>
          <w:sz w:val="32"/>
          <w:szCs w:val="32"/>
        </w:rPr>
        <w:t>聚焦知识产权生态建设，打造"一区三园"，深化知识产权服务业新发展格局，打通知识产权服务市场主体“最后一公里”，全力创建省知识产权服务业集聚发展示范区。</w:t>
      </w:r>
    </w:p>
    <w:p>
      <w:pPr>
        <w:ind w:firstLine="640" w:firstLineChars="200"/>
        <w:jc w:val="left"/>
        <w:outlineLvl w:val="1"/>
        <w:rPr>
          <w:rFonts w:ascii="黑体" w:hAnsi="黑体" w:eastAsia="黑体" w:cs="Times New Roman"/>
          <w:sz w:val="32"/>
          <w:szCs w:val="32"/>
        </w:rPr>
      </w:pPr>
      <w:bookmarkStart w:id="25" w:name="_Toc44333985"/>
      <w:r>
        <w:rPr>
          <w:rFonts w:ascii="黑体" w:hAnsi="黑体" w:eastAsia="黑体" w:cs="Times New Roman"/>
          <w:sz w:val="32"/>
          <w:szCs w:val="32"/>
        </w:rPr>
        <w:t>（六）智能智造升级行动</w:t>
      </w:r>
      <w:bookmarkEnd w:id="25"/>
    </w:p>
    <w:p>
      <w:pPr>
        <w:ind w:firstLine="643" w:firstLineChars="200"/>
        <w:rPr>
          <w:rFonts w:ascii="Times New Roman" w:hAnsi="Times New Roman" w:eastAsia="宋体" w:cs="Times New Roman"/>
          <w:color w:val="000000"/>
          <w:kern w:val="0"/>
          <w:sz w:val="32"/>
          <w:szCs w:val="32"/>
        </w:rPr>
      </w:pPr>
      <w:r>
        <w:rPr>
          <w:rFonts w:ascii="Times New Roman" w:hAnsi="Times New Roman" w:cs="Times New Roman"/>
          <w:b/>
          <w:sz w:val="32"/>
          <w:szCs w:val="32"/>
        </w:rPr>
        <w:t>实施智能化改造。</w:t>
      </w:r>
      <w:r>
        <w:rPr>
          <w:rFonts w:ascii="Times New Roman" w:hAnsi="Times New Roman" w:eastAsia="宋体" w:cs="Times New Roman"/>
          <w:color w:val="000000"/>
          <w:sz w:val="32"/>
          <w:szCs w:val="32"/>
        </w:rPr>
        <w:t>加快新型基础设施建设，率先推进5G网络、</w:t>
      </w:r>
      <w:r>
        <w:rPr>
          <w:rFonts w:hint="eastAsia" w:ascii="Times New Roman" w:hAnsi="Times New Roman" w:eastAsia="宋体" w:cs="Times New Roman"/>
          <w:color w:val="000000"/>
          <w:sz w:val="32"/>
          <w:szCs w:val="32"/>
        </w:rPr>
        <w:t>新</w:t>
      </w:r>
      <w:r>
        <w:rPr>
          <w:rFonts w:ascii="Times New Roman" w:hAnsi="Times New Roman" w:eastAsia="宋体" w:cs="Times New Roman"/>
          <w:color w:val="000000"/>
          <w:sz w:val="32"/>
          <w:szCs w:val="32"/>
        </w:rPr>
        <w:t>一代互联网等规模部署，</w:t>
      </w:r>
      <w:r>
        <w:rPr>
          <w:rFonts w:ascii="Times New Roman" w:hAnsi="Times New Roman" w:cs="Times New Roman"/>
          <w:color w:val="000000"/>
          <w:sz w:val="32"/>
          <w:szCs w:val="32"/>
        </w:rPr>
        <w:t>力争到2022年建成5G基站1200个以上，基本实现全域5G信号全覆盖</w:t>
      </w:r>
      <w:r>
        <w:rPr>
          <w:rFonts w:ascii="Times New Roman" w:hAnsi="Times New Roman" w:eastAsia="宋体" w:cs="Times New Roman"/>
          <w:color w:val="000000"/>
          <w:sz w:val="32"/>
          <w:szCs w:val="32"/>
        </w:rPr>
        <w:t>。</w:t>
      </w:r>
      <w:r>
        <w:rPr>
          <w:rFonts w:ascii="Times New Roman" w:hAnsi="Times New Roman" w:eastAsia="宋体" w:cs="Times New Roman"/>
          <w:color w:val="000000"/>
          <w:kern w:val="0"/>
          <w:sz w:val="32"/>
          <w:szCs w:val="32"/>
        </w:rPr>
        <w:t>实施数字经济“一号工程”，聚焦传统制造产业集群，分行业推进数字化转型、智能化改造，每年实施10项以上数字化转型重点项目。以缝制设备、智能马桶、汽车零部件、医药化工等产业为重点，培育发展一批</w:t>
      </w:r>
      <w:r>
        <w:rPr>
          <w:rFonts w:hint="eastAsia" w:ascii="Times New Roman" w:hAnsi="Times New Roman" w:eastAsia="宋体" w:cs="Times New Roman"/>
          <w:color w:val="000000"/>
          <w:kern w:val="0"/>
          <w:sz w:val="32"/>
          <w:szCs w:val="32"/>
        </w:rPr>
        <w:t>智能化</w:t>
      </w:r>
      <w:r>
        <w:rPr>
          <w:rFonts w:ascii="Times New Roman" w:hAnsi="Times New Roman" w:eastAsia="宋体" w:cs="Times New Roman"/>
          <w:color w:val="000000"/>
          <w:kern w:val="0"/>
          <w:sz w:val="32"/>
          <w:szCs w:val="32"/>
        </w:rPr>
        <w:t>示范型标杆企业，建设一批“数字园区”“无人车间”“无人工厂”，力争培育省级以上数字化车间/智能工厂4个。培育引进工业数字化智能化服务商，加快数字赋能，拓展大规模个性化定制、网络化协同制造、共享制造等</w:t>
      </w:r>
      <w:r>
        <w:rPr>
          <w:rFonts w:hint="eastAsia" w:ascii="Times New Roman" w:hAnsi="Times New Roman" w:eastAsia="宋体" w:cs="Times New Roman"/>
          <w:color w:val="000000"/>
          <w:kern w:val="0"/>
          <w:sz w:val="32"/>
          <w:szCs w:val="32"/>
        </w:rPr>
        <w:t>新</w:t>
      </w:r>
      <w:r>
        <w:rPr>
          <w:rFonts w:ascii="Times New Roman" w:hAnsi="Times New Roman" w:eastAsia="宋体" w:cs="Times New Roman"/>
          <w:color w:val="000000"/>
          <w:kern w:val="0"/>
          <w:sz w:val="32"/>
          <w:szCs w:val="32"/>
        </w:rPr>
        <w:t>模式。</w:t>
      </w:r>
    </w:p>
    <w:p>
      <w:pPr>
        <w:ind w:firstLine="643" w:firstLineChars="200"/>
        <w:rPr>
          <w:rFonts w:ascii="Times New Roman" w:hAnsi="Times New Roman" w:cs="Times New Roman"/>
          <w:sz w:val="32"/>
          <w:szCs w:val="32"/>
        </w:rPr>
      </w:pPr>
      <w:r>
        <w:rPr>
          <w:rFonts w:ascii="Times New Roman" w:hAnsi="Times New Roman" w:cs="Times New Roman"/>
          <w:b/>
          <w:sz w:val="32"/>
          <w:szCs w:val="32"/>
        </w:rPr>
        <w:t>建设工业互联网平台。</w:t>
      </w:r>
      <w:r>
        <w:rPr>
          <w:rFonts w:ascii="Times New Roman" w:hAnsi="Times New Roman" w:cs="Times New Roman"/>
          <w:sz w:val="32"/>
          <w:szCs w:val="32"/>
        </w:rPr>
        <w:t>深入实施“机器人+”、“企业上云”、“工业技术软化”行动，推动一批制造业企业实现核心业务信息化、数字化和云端迁移。开展产业集群数据库建设和大数据应用，分类分库建设覆盖企业、行业、产品、市场、研发等数据资源的行业数据库。充分发挥杰克、星星冷链等优势平台的示范作用，引进培育一批具有引领作业的工业互联网平台，着力构建“一区域一平台、一行业一朵云”的工业互联网体系。力争到2022年，建成2个行业级工业互联网平台和若干个企业级工业互联网平台，连接工业设备（工业产品）数超20万台，工业标识注册量超200万个，服务工业企业500家以上。</w:t>
      </w:r>
    </w:p>
    <w:p>
      <w:pPr>
        <w:ind w:firstLine="643" w:firstLineChars="200"/>
        <w:rPr>
          <w:rFonts w:ascii="Times New Roman" w:hAnsi="Times New Roman" w:cs="Times New Roman"/>
          <w:b/>
          <w:sz w:val="32"/>
          <w:szCs w:val="32"/>
        </w:rPr>
      </w:pPr>
      <w:r>
        <w:rPr>
          <w:rFonts w:ascii="Times New Roman" w:hAnsi="Times New Roman" w:cs="Times New Roman"/>
          <w:b/>
          <w:sz w:val="32"/>
          <w:szCs w:val="32"/>
        </w:rPr>
        <w:t>推进产品智能化升级。</w:t>
      </w:r>
      <w:r>
        <w:rPr>
          <w:rFonts w:ascii="Times New Roman" w:hAnsi="Times New Roman" w:cs="Times New Roman"/>
          <w:sz w:val="32"/>
          <w:szCs w:val="32"/>
        </w:rPr>
        <w:t>鼓励企业加大对智能产品的研发投入，开发集成化、数字化、智能化新产品。智能马桶行业重点发展集远程控制、智能感知、健康管理等功能于一体的终端产品；缝制设备行业重点发展工业缝纫机电机控制驱动系统、特高速电脑绣花机等；汽车零部件行业重点发展</w:t>
      </w:r>
      <w:r>
        <w:rPr>
          <w:rFonts w:ascii="Times New Roman" w:hAnsi="Times New Roman" w:eastAsia="宋体" w:cs="Times New Roman"/>
          <w:sz w:val="32"/>
          <w:szCs w:val="32"/>
        </w:rPr>
        <w:t>车载高性能芯片、高精度车载传感系统、信息终端、车载高清显示器等智能网联汽车关键零部件产品</w:t>
      </w:r>
      <w:r>
        <w:rPr>
          <w:rFonts w:ascii="Times New Roman" w:hAnsi="Times New Roman" w:cs="Times New Roman"/>
          <w:sz w:val="32"/>
          <w:szCs w:val="32"/>
        </w:rPr>
        <w:t>。鼓励支持企业开发针对传统制造企业数字化智能化改造所需的工业机器人、行业自动化生产线及智能化成套设备。</w:t>
      </w:r>
    </w:p>
    <w:p>
      <w:pPr>
        <w:ind w:firstLine="640" w:firstLineChars="200"/>
        <w:jc w:val="left"/>
        <w:outlineLvl w:val="1"/>
        <w:rPr>
          <w:rFonts w:ascii="黑体" w:hAnsi="黑体" w:eastAsia="黑体" w:cs="Times New Roman"/>
          <w:sz w:val="32"/>
          <w:szCs w:val="32"/>
        </w:rPr>
      </w:pPr>
      <w:bookmarkStart w:id="26" w:name="_Toc44333986"/>
      <w:r>
        <w:rPr>
          <w:rFonts w:ascii="黑体" w:hAnsi="黑体" w:eastAsia="黑体" w:cs="Times New Roman"/>
          <w:sz w:val="32"/>
          <w:szCs w:val="32"/>
        </w:rPr>
        <w:t>（七）质量品牌提升行动</w:t>
      </w:r>
      <w:bookmarkEnd w:id="26"/>
    </w:p>
    <w:p>
      <w:pPr>
        <w:ind w:firstLine="643" w:firstLineChars="200"/>
        <w:rPr>
          <w:rFonts w:ascii="Times New Roman" w:hAnsi="Times New Roman" w:cs="Times New Roman"/>
          <w:sz w:val="32"/>
          <w:szCs w:val="32"/>
        </w:rPr>
      </w:pPr>
      <w:r>
        <w:rPr>
          <w:rFonts w:ascii="Times New Roman" w:hAnsi="Times New Roman" w:cs="Times New Roman"/>
          <w:b/>
          <w:sz w:val="32"/>
          <w:szCs w:val="32"/>
        </w:rPr>
        <w:t>推动产品质量提升。</w:t>
      </w:r>
      <w:r>
        <w:rPr>
          <w:rFonts w:ascii="Times New Roman" w:hAnsi="Times New Roman" w:cs="Times New Roman"/>
          <w:color w:val="000000"/>
          <w:kern w:val="0"/>
          <w:sz w:val="32"/>
          <w:szCs w:val="32"/>
        </w:rPr>
        <w:t>围绕三千三百等重点行业和产品开展质量状况调查、质量改进、质量攻关、质量比对和会商会诊，组织质量提升关键共性技术攻关。</w:t>
      </w:r>
      <w:r>
        <w:rPr>
          <w:rFonts w:ascii="Times New Roman" w:hAnsi="Times New Roman" w:cs="Times New Roman"/>
          <w:sz w:val="32"/>
          <w:szCs w:val="32"/>
        </w:rPr>
        <w:t>强化质量强区建设</w:t>
      </w:r>
      <w:r>
        <w:rPr>
          <w:rFonts w:ascii="Times New Roman" w:hAnsi="Times New Roman" w:cs="Times New Roman"/>
          <w:color w:val="000000"/>
          <w:kern w:val="0"/>
          <w:sz w:val="32"/>
          <w:szCs w:val="32"/>
        </w:rPr>
        <w:t>，以智能马桶国家质检中心落地建设为引领，实施省级十大重点产业（工业缝纫机）质量提升项目，全面带动制造业产品质量提升</w:t>
      </w:r>
      <w:r>
        <w:rPr>
          <w:rFonts w:ascii="Times New Roman" w:hAnsi="Times New Roman" w:cs="Times New Roman"/>
          <w:sz w:val="32"/>
          <w:szCs w:val="32"/>
        </w:rPr>
        <w:t>。深入实施《台州市推进企业管理创新五年行动计划（2019-2023年）》，推动企业建立健全全员、全过程、全方位的质量管理体系，培育和创建一批质量标杆企业。推广企业“首席质量官”制度，建立健全重点产品质量追溯体系与质量“黑名单”制度，完善第三方质量评价体系，营造产品质量社会共治氛围。</w:t>
      </w:r>
    </w:p>
    <w:p>
      <w:pPr>
        <w:ind w:firstLine="643" w:firstLineChars="200"/>
        <w:rPr>
          <w:rFonts w:ascii="Times New Roman" w:hAnsi="Times New Roman" w:cs="Times New Roman"/>
          <w:sz w:val="32"/>
          <w:szCs w:val="32"/>
        </w:rPr>
      </w:pPr>
      <w:r>
        <w:rPr>
          <w:rFonts w:ascii="Times New Roman" w:hAnsi="Times New Roman" w:cs="Times New Roman"/>
          <w:b/>
          <w:sz w:val="32"/>
          <w:szCs w:val="32"/>
        </w:rPr>
        <w:t>加大品牌培育力度。</w:t>
      </w:r>
      <w:r>
        <w:rPr>
          <w:rFonts w:ascii="Times New Roman" w:hAnsi="Times New Roman" w:cs="Times New Roman"/>
          <w:sz w:val="32"/>
          <w:szCs w:val="32"/>
        </w:rPr>
        <w:t>推进集群品牌建设，建立具有产权保护、准入约束等功能的集群品牌运作框架和合作模式，创建智能马桶全国知名品牌示范区，到2022年，形成“缝制设备”</w:t>
      </w:r>
      <w:r>
        <w:rPr>
          <w:rFonts w:hint="eastAsia" w:ascii="Times New Roman" w:hAnsi="Times New Roman" w:cs="Times New Roman"/>
          <w:sz w:val="32"/>
          <w:szCs w:val="32"/>
        </w:rPr>
        <w:t>、</w:t>
      </w:r>
      <w:r>
        <w:rPr>
          <w:rFonts w:ascii="Times New Roman" w:hAnsi="Times New Roman" w:cs="Times New Roman"/>
          <w:sz w:val="32"/>
          <w:szCs w:val="32"/>
        </w:rPr>
        <w:t>“智能马桶”等具有全国知名度的集群品牌。深入实施“品字标”品牌企业培育工程，推进“浙江制造”“浙江制造精品”建设，鼓励支持企业开展“品字标”品牌认证，到2022年，培育“品字标”品牌重点企业10家。鼓励企业实施商标品牌战略，争创中国驰名、著名商标，积极创建国家工业品牌培育示范企业</w:t>
      </w:r>
      <w:r>
        <w:rPr>
          <w:rFonts w:hint="eastAsia" w:ascii="Times New Roman" w:hAnsi="Times New Roman" w:cs="Times New Roman"/>
          <w:sz w:val="32"/>
          <w:szCs w:val="32"/>
        </w:rPr>
        <w:t>、</w:t>
      </w:r>
      <w:r>
        <w:rPr>
          <w:rFonts w:ascii="Times New Roman" w:hAnsi="Times New Roman" w:cs="Times New Roman"/>
          <w:sz w:val="32"/>
          <w:szCs w:val="32"/>
        </w:rPr>
        <w:t>省品牌指导服务站</w:t>
      </w:r>
      <w:r>
        <w:rPr>
          <w:rFonts w:hint="eastAsia" w:ascii="Times New Roman" w:hAnsi="Times New Roman" w:cs="Times New Roman"/>
          <w:sz w:val="32"/>
          <w:szCs w:val="32"/>
        </w:rPr>
        <w:t>、省商标品牌示范企业。</w:t>
      </w:r>
      <w:r>
        <w:rPr>
          <w:rFonts w:ascii="Times New Roman" w:hAnsi="Times New Roman" w:cs="Times New Roman"/>
          <w:sz w:val="32"/>
          <w:szCs w:val="32"/>
        </w:rPr>
        <w:t>加</w:t>
      </w:r>
      <w:r>
        <w:rPr>
          <w:rFonts w:ascii="Times New Roman" w:hAnsi="Times New Roman" w:eastAsia="宋体" w:cs="Times New Roman"/>
          <w:sz w:val="32"/>
          <w:szCs w:val="32"/>
        </w:rPr>
        <w:t>快完善品牌促进、品牌推介、品牌保护、品牌信息等公共服务体系。</w:t>
      </w:r>
    </w:p>
    <w:p>
      <w:pPr>
        <w:ind w:firstLine="643" w:firstLineChars="200"/>
        <w:rPr>
          <w:rFonts w:ascii="Times New Roman" w:hAnsi="Times New Roman" w:cs="Times New Roman"/>
          <w:b/>
          <w:sz w:val="32"/>
          <w:szCs w:val="32"/>
        </w:rPr>
      </w:pPr>
      <w:r>
        <w:rPr>
          <w:rFonts w:ascii="Times New Roman" w:hAnsi="Times New Roman" w:cs="Times New Roman"/>
          <w:b/>
          <w:sz w:val="32"/>
          <w:szCs w:val="32"/>
        </w:rPr>
        <w:t>强化标准引领。</w:t>
      </w:r>
      <w:r>
        <w:rPr>
          <w:rFonts w:ascii="Times New Roman" w:hAnsi="Times New Roman" w:eastAsia="宋体" w:cs="Times New Roman"/>
          <w:sz w:val="32"/>
          <w:szCs w:val="32"/>
        </w:rPr>
        <w:t>大力推行“标准化+”，实行企业标准领跑者行动。</w:t>
      </w:r>
      <w:r>
        <w:rPr>
          <w:rFonts w:ascii="Times New Roman" w:cs="Times New Roman" w:hAnsiTheme="minorEastAsia"/>
          <w:sz w:val="32"/>
          <w:szCs w:val="32"/>
        </w:rPr>
        <w:t>深入实施技术提升、标准提档工程，支持企业将自主创新技术转化为技术标准，参与国际标准、国家标准、行业标准制（修）订，培育一批掌握国内外标准话语权的优势产业和企业。加快制造业重点领域标准研制，支持龙头企业主要产品与国际标准接轨。引进培育一批标准公共服务平台、第三方标准服务机构，为制造企业标准研制提供有效支撑。</w:t>
      </w:r>
      <w:r>
        <w:rPr>
          <w:rFonts w:ascii="Times New Roman" w:hAnsi="Times New Roman" w:cs="Times New Roman"/>
          <w:sz w:val="32"/>
          <w:szCs w:val="32"/>
        </w:rPr>
        <w:t>到2022年，牵头制定“浙江制造”标准</w:t>
      </w:r>
      <w:r>
        <w:rPr>
          <w:rFonts w:hint="eastAsia" w:ascii="Times New Roman" w:hAnsi="Times New Roman" w:cs="Times New Roman"/>
          <w:sz w:val="32"/>
          <w:szCs w:val="32"/>
        </w:rPr>
        <w:t>10</w:t>
      </w:r>
      <w:r>
        <w:rPr>
          <w:rFonts w:ascii="Times New Roman" w:hAnsi="Times New Roman" w:cs="Times New Roman"/>
          <w:sz w:val="32"/>
          <w:szCs w:val="32"/>
        </w:rPr>
        <w:t>项，制造业企业参与制（修）订国际、国家、行业标准10项以上。</w:t>
      </w:r>
    </w:p>
    <w:p>
      <w:pPr>
        <w:ind w:firstLine="640" w:firstLineChars="200"/>
        <w:jc w:val="left"/>
        <w:outlineLvl w:val="1"/>
        <w:rPr>
          <w:rFonts w:ascii="黑体" w:hAnsi="黑体" w:eastAsia="黑体" w:cs="Times New Roman"/>
          <w:sz w:val="32"/>
          <w:szCs w:val="32"/>
        </w:rPr>
      </w:pPr>
      <w:bookmarkStart w:id="27" w:name="_Toc44333987"/>
      <w:r>
        <w:rPr>
          <w:rFonts w:ascii="黑体" w:hAnsi="黑体" w:eastAsia="黑体" w:cs="Times New Roman"/>
          <w:sz w:val="32"/>
          <w:szCs w:val="32"/>
        </w:rPr>
        <w:t>（八）绿色循环推进行动</w:t>
      </w:r>
      <w:bookmarkEnd w:id="27"/>
    </w:p>
    <w:p>
      <w:pPr>
        <w:ind w:firstLine="643" w:firstLineChars="200"/>
        <w:rPr>
          <w:rFonts w:ascii="Times New Roman" w:hAnsi="Times New Roman" w:cs="Times New Roman"/>
          <w:b/>
          <w:sz w:val="32"/>
          <w:szCs w:val="32"/>
        </w:rPr>
      </w:pPr>
      <w:r>
        <w:rPr>
          <w:rFonts w:ascii="Times New Roman" w:hAnsi="Times New Roman" w:cs="Times New Roman"/>
          <w:b/>
          <w:sz w:val="32"/>
          <w:szCs w:val="32"/>
        </w:rPr>
        <w:t>建设一批绿色园区。</w:t>
      </w:r>
      <w:r>
        <w:rPr>
          <w:rFonts w:ascii="Times New Roman" w:hAnsi="Times New Roman" w:cs="Times New Roman"/>
          <w:sz w:val="32"/>
          <w:szCs w:val="32"/>
        </w:rPr>
        <w:t>推行园区综合能源资源一体化解决方案，推动园区基础和环保设施共建共享，实现园区能源梯级利用、水资源循环利用、废物交换利用、土地节约集约利用，提升园区资源能源利用效率。总结浙江省原料药基地椒江区块循环化改造省级试点经验，遵循“减量化、再循环、再利用”原则，着力在园区推广余热余压回收、水循环利用、重金属污染减量化、废渣资源化、脱硫脱硝除尘等绿色循环工艺技术，搭建企业间物料资源、副产品和废弃物交换平台，实现物质和能量在企业内部、企业之间的闭路循环和多级利用，构建产业共生循环系统。</w:t>
      </w:r>
    </w:p>
    <w:p>
      <w:pPr>
        <w:ind w:firstLine="643" w:firstLineChars="200"/>
        <w:rPr>
          <w:rFonts w:ascii="Times New Roman" w:hAnsi="Times New Roman" w:cs="Times New Roman"/>
          <w:b/>
          <w:sz w:val="32"/>
          <w:szCs w:val="32"/>
        </w:rPr>
      </w:pPr>
      <w:r>
        <w:rPr>
          <w:rFonts w:ascii="Times New Roman" w:hAnsi="Times New Roman" w:cs="Times New Roman"/>
          <w:b/>
          <w:sz w:val="32"/>
          <w:szCs w:val="32"/>
        </w:rPr>
        <w:t>创建一批绿色工厂。</w:t>
      </w:r>
      <w:r>
        <w:rPr>
          <w:rFonts w:ascii="Times New Roman" w:hAnsi="Times New Roman" w:cs="Times New Roman"/>
          <w:sz w:val="32"/>
          <w:szCs w:val="32"/>
        </w:rPr>
        <w:t>实施</w:t>
      </w:r>
      <w:r>
        <w:rPr>
          <w:rFonts w:ascii="Times New Roman" w:hAnsi="Times New Roman" w:eastAsia="宋体" w:cs="Times New Roman"/>
          <w:sz w:val="32"/>
          <w:szCs w:val="32"/>
        </w:rPr>
        <w:t>ISO14001环境管理体系认证、</w:t>
      </w:r>
      <w:r>
        <w:rPr>
          <w:rFonts w:ascii="Times New Roman" w:hAnsi="Times New Roman" w:cs="Times New Roman"/>
          <w:sz w:val="32"/>
          <w:szCs w:val="32"/>
        </w:rPr>
        <w:t>落实清洁生产审核，引导大中小企业严格执行能源资源消耗和污染物排放标准，推广应用清洁生产工艺技术和高效末端治理装备，建立资源回收循环利用机制，率先在医药化工、装备制造企业中开展绿色示范工厂建设，推动生产洁净化。严格推进厂房集约化，引导企业按照绿色建筑技术建造改造厂房，合理布局厂区内能量流、物质流路径，实现运行全流程绿色发展。开展低碳企业试点示范，建立低碳企业评价标准和激励机制，实施能效、水效领跑者引领计划。</w:t>
      </w:r>
    </w:p>
    <w:p>
      <w:pPr>
        <w:ind w:firstLine="643" w:firstLineChars="200"/>
        <w:rPr>
          <w:rFonts w:ascii="Times New Roman" w:hAnsi="Times New Roman" w:cs="Times New Roman"/>
          <w:b/>
          <w:sz w:val="32"/>
          <w:szCs w:val="32"/>
        </w:rPr>
      </w:pPr>
      <w:r>
        <w:rPr>
          <w:rFonts w:ascii="Times New Roman" w:hAnsi="Times New Roman" w:cs="Times New Roman"/>
          <w:b/>
          <w:sz w:val="32"/>
          <w:szCs w:val="32"/>
        </w:rPr>
        <w:t>开发一批绿色产品。</w:t>
      </w:r>
      <w:r>
        <w:rPr>
          <w:rFonts w:ascii="Times New Roman" w:hAnsi="Times New Roman" w:cs="Times New Roman"/>
          <w:sz w:val="32"/>
          <w:szCs w:val="32"/>
        </w:rPr>
        <w:t>在汽车零部件、智能马桶、缝制设备等重点行业中，优先选择量大面广、与消费者紧密相关、条件成熟的产品，按照全生命周期理念，积极开展绿色设计试点，实现产品能源资源消耗最低化、生态环境影响最小化、可再生率最大化。加快节能新技术、新产品应用，推广轻量化、低功耗、易回收等技术工艺，开发无害化、节能环保、高可靠性、长寿命和易回收等特性的产品。支持企业开展绿色产品标准制定和第三方评价认证，引导绿色生产。</w:t>
      </w:r>
    </w:p>
    <w:p>
      <w:pPr>
        <w:ind w:firstLine="643" w:firstLineChars="200"/>
        <w:jc w:val="left"/>
        <w:outlineLvl w:val="0"/>
        <w:rPr>
          <w:rFonts w:ascii="黑体" w:hAnsi="黑体" w:eastAsia="黑体" w:cs="Times New Roman"/>
          <w:b/>
          <w:sz w:val="32"/>
          <w:szCs w:val="32"/>
        </w:rPr>
      </w:pPr>
      <w:bookmarkStart w:id="28" w:name="_Toc44333988"/>
      <w:r>
        <w:rPr>
          <w:rFonts w:ascii="黑体" w:hAnsi="黑体" w:eastAsia="黑体" w:cs="Times New Roman"/>
          <w:b/>
          <w:sz w:val="32"/>
          <w:szCs w:val="32"/>
        </w:rPr>
        <w:t>三、保障措施</w:t>
      </w:r>
      <w:bookmarkEnd w:id="28"/>
    </w:p>
    <w:p>
      <w:pPr>
        <w:ind w:firstLine="640" w:firstLineChars="200"/>
        <w:jc w:val="left"/>
        <w:outlineLvl w:val="1"/>
        <w:rPr>
          <w:rFonts w:ascii="黑体" w:hAnsi="黑体" w:eastAsia="黑体" w:cs="Times New Roman"/>
          <w:sz w:val="32"/>
          <w:szCs w:val="32"/>
        </w:rPr>
      </w:pPr>
      <w:bookmarkStart w:id="29" w:name="_Toc44333989"/>
      <w:r>
        <w:rPr>
          <w:rFonts w:ascii="黑体" w:hAnsi="黑体" w:eastAsia="黑体" w:cs="Times New Roman"/>
          <w:sz w:val="32"/>
          <w:szCs w:val="32"/>
        </w:rPr>
        <w:t>（一）加强组织保障</w:t>
      </w:r>
      <w:bookmarkEnd w:id="29"/>
    </w:p>
    <w:p>
      <w:pPr>
        <w:ind w:firstLine="640" w:firstLineChars="200"/>
        <w:rPr>
          <w:rFonts w:ascii="Times New Roman" w:hAnsi="Times New Roman" w:cs="Times New Roman"/>
          <w:color w:val="000000"/>
          <w:kern w:val="0"/>
          <w:sz w:val="32"/>
          <w:szCs w:val="32"/>
        </w:rPr>
      </w:pPr>
      <w:r>
        <w:rPr>
          <w:rFonts w:ascii="Times New Roman" w:hAnsi="Times New Roman" w:eastAsia="宋体" w:cs="Times New Roman"/>
          <w:color w:val="000000"/>
          <w:kern w:val="0"/>
          <w:sz w:val="32"/>
          <w:szCs w:val="32"/>
        </w:rPr>
        <w:t>成立高规格</w:t>
      </w:r>
      <w:r>
        <w:rPr>
          <w:rFonts w:ascii="Times New Roman" w:hAnsi="Times New Roman" w:cs="Times New Roman"/>
          <w:color w:val="000000"/>
          <w:kern w:val="0"/>
          <w:sz w:val="32"/>
          <w:szCs w:val="32"/>
        </w:rPr>
        <w:t>的</w:t>
      </w:r>
      <w:r>
        <w:rPr>
          <w:rFonts w:ascii="Times New Roman" w:hAnsi="Times New Roman" w:eastAsia="宋体" w:cs="Times New Roman"/>
          <w:color w:val="000000"/>
          <w:kern w:val="0"/>
          <w:sz w:val="32"/>
          <w:szCs w:val="32"/>
        </w:rPr>
        <w:t>工作领导小组，建立以</w:t>
      </w:r>
      <w:r>
        <w:rPr>
          <w:rFonts w:ascii="Times New Roman" w:hAnsi="Times New Roman" w:cs="Times New Roman"/>
          <w:color w:val="000000"/>
          <w:kern w:val="0"/>
          <w:sz w:val="32"/>
          <w:szCs w:val="32"/>
        </w:rPr>
        <w:t>区</w:t>
      </w:r>
      <w:r>
        <w:rPr>
          <w:rFonts w:ascii="Times New Roman" w:hAnsi="Times New Roman" w:eastAsia="宋体" w:cs="Times New Roman"/>
          <w:color w:val="000000"/>
          <w:kern w:val="0"/>
          <w:sz w:val="32"/>
          <w:szCs w:val="32"/>
        </w:rPr>
        <w:t>委、</w:t>
      </w:r>
      <w:r>
        <w:rPr>
          <w:rFonts w:ascii="Times New Roman" w:hAnsi="Times New Roman" w:cs="Times New Roman"/>
          <w:color w:val="000000"/>
          <w:kern w:val="0"/>
          <w:sz w:val="32"/>
          <w:szCs w:val="32"/>
        </w:rPr>
        <w:t>区</w:t>
      </w:r>
      <w:r>
        <w:rPr>
          <w:rFonts w:ascii="Times New Roman" w:hAnsi="Times New Roman" w:eastAsia="宋体" w:cs="Times New Roman"/>
          <w:color w:val="000000"/>
          <w:kern w:val="0"/>
          <w:sz w:val="32"/>
          <w:szCs w:val="32"/>
        </w:rPr>
        <w:t>政府主要领导担任召集人的</w:t>
      </w:r>
      <w:r>
        <w:rPr>
          <w:rFonts w:ascii="Times New Roman" w:hAnsi="Times New Roman" w:cs="Times New Roman"/>
          <w:color w:val="000000"/>
          <w:kern w:val="0"/>
          <w:sz w:val="32"/>
          <w:szCs w:val="32"/>
        </w:rPr>
        <w:t>推进制造业高质量发展</w:t>
      </w:r>
      <w:r>
        <w:rPr>
          <w:rFonts w:ascii="Times New Roman" w:hAnsi="Times New Roman" w:eastAsia="宋体" w:cs="Times New Roman"/>
          <w:color w:val="000000"/>
          <w:kern w:val="0"/>
          <w:sz w:val="32"/>
          <w:szCs w:val="32"/>
        </w:rPr>
        <w:t>联席会议制度，统筹协调</w:t>
      </w:r>
      <w:r>
        <w:rPr>
          <w:rFonts w:ascii="Times New Roman" w:hAnsi="Times New Roman" w:cs="Times New Roman"/>
          <w:color w:val="000000"/>
          <w:kern w:val="0"/>
          <w:sz w:val="32"/>
          <w:szCs w:val="32"/>
        </w:rPr>
        <w:t>相关</w:t>
      </w:r>
      <w:r>
        <w:rPr>
          <w:rFonts w:ascii="Times New Roman" w:hAnsi="Times New Roman" w:eastAsia="宋体" w:cs="Times New Roman"/>
          <w:color w:val="000000"/>
          <w:kern w:val="0"/>
          <w:sz w:val="32"/>
          <w:szCs w:val="32"/>
        </w:rPr>
        <w:t>工作。</w:t>
      </w:r>
      <w:r>
        <w:rPr>
          <w:rFonts w:ascii="Times New Roman" w:hAnsi="Times New Roman" w:cs="Times New Roman"/>
          <w:color w:val="000000"/>
          <w:kern w:val="0"/>
          <w:sz w:val="32"/>
          <w:szCs w:val="32"/>
        </w:rPr>
        <w:t>区</w:t>
      </w:r>
      <w:r>
        <w:rPr>
          <w:rFonts w:ascii="Times New Roman" w:hAnsi="Times New Roman" w:eastAsia="宋体" w:cs="Times New Roman"/>
          <w:color w:val="000000"/>
          <w:kern w:val="0"/>
          <w:sz w:val="32"/>
          <w:szCs w:val="32"/>
        </w:rPr>
        <w:t>级部门、各</w:t>
      </w:r>
      <w:r>
        <w:rPr>
          <w:rFonts w:ascii="Times New Roman" w:hAnsi="Times New Roman" w:cs="Times New Roman"/>
          <w:color w:val="000000"/>
          <w:kern w:val="0"/>
          <w:sz w:val="32"/>
          <w:szCs w:val="32"/>
        </w:rPr>
        <w:t>镇（街道）</w:t>
      </w:r>
      <w:r>
        <w:rPr>
          <w:rFonts w:ascii="Times New Roman" w:hAnsi="Times New Roman" w:eastAsia="宋体" w:cs="Times New Roman"/>
          <w:color w:val="000000"/>
          <w:kern w:val="0"/>
          <w:sz w:val="32"/>
          <w:szCs w:val="32"/>
        </w:rPr>
        <w:t>按照分工要求和职能职责，加强工作谋划和创新，对</w:t>
      </w:r>
      <w:r>
        <w:rPr>
          <w:rFonts w:ascii="Times New Roman" w:hAnsi="Times New Roman" w:cs="Times New Roman"/>
          <w:color w:val="000000"/>
          <w:kern w:val="0"/>
          <w:sz w:val="32"/>
          <w:szCs w:val="32"/>
        </w:rPr>
        <w:t>行动计划</w:t>
      </w:r>
      <w:r>
        <w:rPr>
          <w:rFonts w:ascii="Times New Roman" w:hAnsi="Times New Roman" w:eastAsia="宋体" w:cs="Times New Roman"/>
          <w:color w:val="000000"/>
          <w:kern w:val="0"/>
          <w:sz w:val="32"/>
          <w:szCs w:val="32"/>
        </w:rPr>
        <w:t>内容进行深化细化，科学安排年度计划并组织实施</w:t>
      </w:r>
      <w:r>
        <w:rPr>
          <w:rFonts w:ascii="Times New Roman" w:hAnsi="Times New Roman" w:cs="Times New Roman"/>
          <w:color w:val="000000"/>
          <w:kern w:val="0"/>
          <w:sz w:val="32"/>
          <w:szCs w:val="32"/>
        </w:rPr>
        <w:t>，实现统筹联动，发挥合力</w:t>
      </w:r>
      <w:r>
        <w:rPr>
          <w:rFonts w:ascii="Times New Roman" w:hAnsi="Times New Roman" w:eastAsia="宋体" w:cs="Times New Roman"/>
          <w:color w:val="000000"/>
          <w:kern w:val="0"/>
          <w:sz w:val="32"/>
          <w:szCs w:val="32"/>
        </w:rPr>
        <w:t>。</w:t>
      </w:r>
      <w:r>
        <w:rPr>
          <w:rFonts w:ascii="Times New Roman" w:hAnsi="Times New Roman" w:cs="Times New Roman"/>
          <w:color w:val="000000"/>
          <w:kern w:val="0"/>
          <w:sz w:val="32"/>
          <w:szCs w:val="32"/>
        </w:rPr>
        <w:t>突出目标导向、强化考核激励，把方案确定的发展目标和主要行动任务完成情况作为对相关部门和镇（街道）的综合考核评价依据。</w:t>
      </w:r>
      <w:r>
        <w:rPr>
          <w:rFonts w:ascii="Times New Roman" w:hAnsi="Times New Roman" w:cs="Times New Roman"/>
          <w:sz w:val="32"/>
          <w:szCs w:val="32"/>
        </w:rPr>
        <w:t>建立健全决策咨询机制，定期聘请专家参与重大战略问题、重点项目建设等咨询，提高决策的科学水平。</w:t>
      </w:r>
    </w:p>
    <w:p>
      <w:pPr>
        <w:ind w:firstLine="640" w:firstLineChars="200"/>
        <w:jc w:val="left"/>
        <w:outlineLvl w:val="1"/>
        <w:rPr>
          <w:rFonts w:ascii="黑体" w:hAnsi="黑体" w:eastAsia="黑体" w:cs="Times New Roman"/>
          <w:sz w:val="32"/>
          <w:szCs w:val="32"/>
        </w:rPr>
      </w:pPr>
      <w:bookmarkStart w:id="30" w:name="_Toc44333990"/>
      <w:r>
        <w:rPr>
          <w:rFonts w:ascii="黑体" w:hAnsi="黑体" w:eastAsia="黑体" w:cs="Times New Roman"/>
          <w:sz w:val="32"/>
          <w:szCs w:val="32"/>
        </w:rPr>
        <w:t>（二）强化政策供给</w:t>
      </w:r>
      <w:bookmarkEnd w:id="30"/>
    </w:p>
    <w:p>
      <w:pPr>
        <w:ind w:firstLine="640" w:firstLineChars="200"/>
        <w:rPr>
          <w:rFonts w:ascii="Times New Roman" w:hAnsi="Times New Roman" w:cs="Times New Roman"/>
          <w:sz w:val="32"/>
          <w:szCs w:val="32"/>
        </w:rPr>
      </w:pPr>
      <w:r>
        <w:rPr>
          <w:rFonts w:ascii="Times New Roman" w:hAnsi="Times New Roman" w:cs="Times New Roman"/>
          <w:sz w:val="32"/>
          <w:szCs w:val="32"/>
        </w:rPr>
        <w:t>制定 “制造业高质量发展”综合性政策，并配套出台产业扶持、企业培育、创业创新、工业投入等系列政策，构建“1+X”政策体系。积极向上争取各种财政优惠政策，对重大产业项目、重大科技创新项目、基础设施建设等给予一定的财政倾斜。建立专项引导资金，通过跟进投资、贷款贴息、股权投资、财政补贴等方式，加强对重点产业发展和产业转型升级的资金支持。落实企业科技孵化器税收优惠政策和支持创新的政府采购政策，引导和鼓励企业加大研发投入，推动企业加大创新产品的开发和规模化应用。</w:t>
      </w:r>
    </w:p>
    <w:p>
      <w:pPr>
        <w:ind w:firstLine="640" w:firstLineChars="200"/>
        <w:jc w:val="left"/>
        <w:outlineLvl w:val="1"/>
        <w:rPr>
          <w:rFonts w:ascii="黑体" w:hAnsi="黑体" w:eastAsia="黑体" w:cs="Times New Roman"/>
          <w:sz w:val="32"/>
          <w:szCs w:val="32"/>
        </w:rPr>
      </w:pPr>
      <w:bookmarkStart w:id="31" w:name="_Toc44333991"/>
      <w:r>
        <w:rPr>
          <w:rFonts w:ascii="黑体" w:hAnsi="黑体" w:eastAsia="黑体" w:cs="Times New Roman"/>
          <w:sz w:val="32"/>
          <w:szCs w:val="32"/>
        </w:rPr>
        <w:t>（三）加大要素支撑</w:t>
      </w:r>
      <w:bookmarkEnd w:id="31"/>
    </w:p>
    <w:p>
      <w:pPr>
        <w:ind w:firstLine="640" w:firstLineChars="200"/>
        <w:rPr>
          <w:rFonts w:ascii="Times New Roman" w:hAnsi="Times New Roman" w:cs="Times New Roman"/>
          <w:sz w:val="32"/>
          <w:szCs w:val="32"/>
        </w:rPr>
      </w:pPr>
      <w:r>
        <w:rPr>
          <w:rFonts w:ascii="Times New Roman" w:hAnsi="Times New Roman" w:cs="Times New Roman"/>
          <w:sz w:val="32"/>
          <w:szCs w:val="32"/>
        </w:rPr>
        <w:t>鼓励银行金融机构创新金融产品，加大对企业提供各种灵活适宜的信贷产品和服务方式，增强信贷资金支持力度。支持符合条件的企业通过多种方式拓宽融资渠道。引导风险投资、私募股权投资等支持企业创新发展。积极推行PPP模式在基础设施建设、园区建设、公共服务平台搭建等方面的实施和应用。积极包装项目，争取更多项目列入国家、省重大项目库，拓宽用地指标来源。加大盘活闲置和空闲土地力度，深化“亩均效益”为导向的土地供给机制</w:t>
      </w:r>
      <w:r>
        <w:rPr>
          <w:rFonts w:hint="eastAsia" w:ascii="Times New Roman" w:hAnsi="Times New Roman" w:cs="Times New Roman"/>
          <w:sz w:val="32"/>
          <w:szCs w:val="32"/>
        </w:rPr>
        <w:t>，探索“标准地+优质项目库”供地管理方式，对优质项目实行精准供地。</w:t>
      </w:r>
      <w:r>
        <w:rPr>
          <w:rFonts w:ascii="Times New Roman" w:hAnsi="Times New Roman" w:cs="Times New Roman"/>
          <w:sz w:val="32"/>
          <w:szCs w:val="32"/>
        </w:rPr>
        <w:t>创新弹性出让方式，加强对项目用地的全生命周期管理。依托台州市“500精英计划”，重点引进产业领军人才、创新创业人才和知名投资人才。鼓励有条件企业申报国家产教融合试点，打造新时代工匠队伍。</w:t>
      </w:r>
    </w:p>
    <w:p>
      <w:pPr>
        <w:ind w:firstLine="640" w:firstLineChars="200"/>
        <w:jc w:val="left"/>
        <w:outlineLvl w:val="1"/>
        <w:rPr>
          <w:rFonts w:ascii="黑体" w:hAnsi="黑体" w:eastAsia="黑体" w:cs="Times New Roman"/>
          <w:sz w:val="32"/>
          <w:szCs w:val="32"/>
        </w:rPr>
      </w:pPr>
      <w:bookmarkStart w:id="32" w:name="_Toc44333992"/>
      <w:r>
        <w:rPr>
          <w:rFonts w:ascii="黑体" w:hAnsi="黑体" w:eastAsia="黑体" w:cs="Times New Roman"/>
          <w:sz w:val="32"/>
          <w:szCs w:val="32"/>
        </w:rPr>
        <w:t>（四）优化营商环境</w:t>
      </w:r>
      <w:bookmarkEnd w:id="32"/>
    </w:p>
    <w:p>
      <w:pPr>
        <w:ind w:firstLine="640" w:firstLineChars="200"/>
        <w:rPr>
          <w:rFonts w:ascii="Times New Roman" w:hAnsi="Times New Roman" w:cs="Times New Roman"/>
          <w:sz w:val="32"/>
          <w:szCs w:val="32"/>
        </w:rPr>
      </w:pPr>
      <w:r>
        <w:rPr>
          <w:rFonts w:ascii="Times New Roman" w:hAnsi="Times New Roman" w:eastAsia="宋体" w:cs="Times New Roman"/>
          <w:color w:val="000000"/>
          <w:sz w:val="32"/>
          <w:szCs w:val="32"/>
        </w:rPr>
        <w:t>深化“最多跑一次”改革</w:t>
      </w:r>
      <w:r>
        <w:rPr>
          <w:rFonts w:ascii="Times New Roman" w:hAnsi="Times New Roman" w:eastAsia="宋体" w:cs="Times New Roman"/>
          <w:color w:val="333333"/>
          <w:sz w:val="32"/>
          <w:szCs w:val="32"/>
          <w:shd w:val="clear" w:color="auto" w:fill="FFFFFF"/>
        </w:rPr>
        <w:t>，深入推进“10+N”便利化行动，</w:t>
      </w:r>
      <w:r>
        <w:rPr>
          <w:rFonts w:ascii="Times New Roman" w:hAnsi="Times New Roman" w:eastAsia="宋体" w:cs="Times New Roman"/>
          <w:color w:val="000000"/>
          <w:sz w:val="32"/>
          <w:szCs w:val="32"/>
        </w:rPr>
        <w:t>系统集成服务企业的“一件事”</w:t>
      </w:r>
      <w:r>
        <w:rPr>
          <w:rFonts w:ascii="Times New Roman" w:hAnsi="Times New Roman" w:cs="Times New Roman"/>
          <w:sz w:val="32"/>
          <w:szCs w:val="32"/>
        </w:rPr>
        <w:t>。健全项目推进服务机制，</w:t>
      </w:r>
      <w:bookmarkStart w:id="33" w:name="_Toc454889989"/>
      <w:r>
        <w:rPr>
          <w:rFonts w:ascii="Times New Roman" w:hAnsi="Times New Roman" w:cs="Times New Roman"/>
          <w:sz w:val="32"/>
          <w:szCs w:val="32"/>
        </w:rPr>
        <w:t>对重点企业、重点项目实行“一对一”精准服务</w:t>
      </w:r>
      <w:bookmarkEnd w:id="33"/>
      <w:r>
        <w:rPr>
          <w:rFonts w:ascii="Times New Roman" w:hAnsi="Times New Roman" w:cs="Times New Roman"/>
          <w:sz w:val="32"/>
          <w:szCs w:val="32"/>
        </w:rPr>
        <w:t>，确保项目顺畅实施。</w:t>
      </w:r>
      <w:bookmarkStart w:id="34" w:name="_Toc454889987"/>
      <w:r>
        <w:rPr>
          <w:rFonts w:ascii="Times New Roman" w:hAnsi="Times New Roman" w:cs="Times New Roman"/>
          <w:sz w:val="32"/>
          <w:szCs w:val="32"/>
        </w:rPr>
        <w:t>深化招商引资项目代理服务责任制、领导跟踪服务制、限时办结制、绿色通道及并联服务等机制，简化审批手续，减少办事环节，履行服务承诺，提高服务效率。健全服务企业常态化工作机制，大力推广企业码应用，全面实施企业直通车服务，完善“五心服务、五帮助企”长效机制，定期协调解决企业发展难题</w:t>
      </w:r>
      <w:bookmarkEnd w:id="34"/>
      <w:r>
        <w:rPr>
          <w:rFonts w:ascii="Times New Roman" w:hAnsi="Times New Roman" w:cs="Times New Roman"/>
          <w:sz w:val="32"/>
          <w:szCs w:val="32"/>
        </w:rPr>
        <w:t>。</w:t>
      </w:r>
      <w:r>
        <w:rPr>
          <w:rFonts w:hint="eastAsia" w:ascii="Times New Roman" w:hAnsi="Times New Roman" w:cs="Times New Roman"/>
          <w:sz w:val="32"/>
          <w:szCs w:val="32"/>
        </w:rPr>
        <w:t>深化企业降本减负，抓好国家、省、市各类减负政策的兑现落实。</w:t>
      </w:r>
    </w:p>
    <w:p>
      <w:pPr>
        <w:ind w:firstLine="640" w:firstLineChars="200"/>
        <w:rPr>
          <w:rFonts w:ascii="Times New Roman" w:hAnsi="Times New Roman" w:cs="Times New Roman"/>
          <w:sz w:val="32"/>
          <w:szCs w:val="32"/>
        </w:rPr>
      </w:pPr>
    </w:p>
    <w:p>
      <w:pPr>
        <w:spacing w:line="560" w:lineRule="exact"/>
        <w:ind w:firstLine="640" w:firstLineChars="200"/>
        <w:rPr>
          <w:rFonts w:ascii="Times New Roman" w:hAnsi="Times New Roman" w:cs="Times New Roman"/>
          <w:sz w:val="32"/>
          <w:szCs w:val="32"/>
        </w:rPr>
      </w:pPr>
      <w:r>
        <w:rPr>
          <w:rFonts w:hint="eastAsia" w:ascii="Times New Roman" w:hAnsi="Times New Roman" w:cs="Times New Roman"/>
          <w:sz w:val="32"/>
          <w:szCs w:val="32"/>
        </w:rPr>
        <w:t>附件一：重大产业项目一览表</w:t>
      </w:r>
    </w:p>
    <w:p>
      <w:pPr>
        <w:ind w:firstLine="640" w:firstLineChars="200"/>
        <w:rPr>
          <w:rFonts w:ascii="Times New Roman" w:hAnsi="Times New Roman" w:cs="Times New Roman"/>
          <w:sz w:val="32"/>
          <w:szCs w:val="32"/>
        </w:rPr>
      </w:pPr>
      <w:r>
        <w:rPr>
          <w:rFonts w:hint="eastAsia" w:ascii="Times New Roman" w:hAnsi="Times New Roman" w:cs="Times New Roman"/>
          <w:sz w:val="32"/>
          <w:szCs w:val="32"/>
        </w:rPr>
        <w:t>附件二：上市培育企业名录</w:t>
      </w:r>
    </w:p>
    <w:p>
      <w:pPr>
        <w:widowControl/>
        <w:jc w:val="left"/>
        <w:rPr>
          <w:rFonts w:ascii="Times New Roman" w:hAnsi="Times New Roman" w:cs="Times New Roman"/>
          <w:b/>
          <w:sz w:val="32"/>
          <w:szCs w:val="32"/>
        </w:rPr>
      </w:pPr>
      <w:r>
        <w:rPr>
          <w:rFonts w:ascii="Times New Roman" w:hAnsi="Times New Roman" w:cs="Times New Roman"/>
          <w:b/>
          <w:sz w:val="32"/>
          <w:szCs w:val="32"/>
        </w:rPr>
        <w:br w:type="page"/>
      </w:r>
    </w:p>
    <w:p>
      <w:pPr>
        <w:rPr>
          <w:rFonts w:ascii="仿宋_GB2312" w:hAnsi="Calibri" w:eastAsia="仿宋_GB2312" w:cs="Times New Roman"/>
          <w:bCs/>
          <w:sz w:val="32"/>
          <w:szCs w:val="32"/>
        </w:rPr>
      </w:pPr>
      <w:r>
        <w:rPr>
          <w:rFonts w:hint="eastAsia" w:ascii="仿宋_GB2312" w:hAnsi="Calibri" w:eastAsia="仿宋_GB2312" w:cs="Times New Roman"/>
          <w:bCs/>
          <w:sz w:val="32"/>
          <w:szCs w:val="32"/>
        </w:rPr>
        <w:t>附件一</w:t>
      </w:r>
    </w:p>
    <w:p>
      <w:pPr>
        <w:jc w:val="center"/>
        <w:rPr>
          <w:rFonts w:ascii="仿宋_GB2312" w:hAnsi="Calibri" w:eastAsia="仿宋_GB2312" w:cs="Times New Roman"/>
          <w:b/>
          <w:sz w:val="32"/>
          <w:szCs w:val="32"/>
        </w:rPr>
      </w:pPr>
      <w:r>
        <w:rPr>
          <w:rFonts w:hint="eastAsia" w:ascii="仿宋_GB2312" w:hAnsi="Calibri" w:eastAsia="仿宋_GB2312" w:cs="Times New Roman"/>
          <w:b/>
          <w:sz w:val="44"/>
          <w:szCs w:val="44"/>
        </w:rPr>
        <w:t>重大产业项目一览表</w:t>
      </w:r>
    </w:p>
    <w:tbl>
      <w:tblPr>
        <w:tblStyle w:val="10"/>
        <w:tblW w:w="9969" w:type="dxa"/>
        <w:tblInd w:w="-7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478"/>
        <w:gridCol w:w="2408"/>
        <w:gridCol w:w="3511"/>
        <w:gridCol w:w="180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项目类别</w:t>
            </w:r>
          </w:p>
        </w:tc>
        <w:tc>
          <w:tcPr>
            <w:tcW w:w="479" w:type="dxa"/>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序号</w:t>
            </w:r>
          </w:p>
        </w:tc>
        <w:tc>
          <w:tcPr>
            <w:tcW w:w="2445" w:type="dxa"/>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实施单位</w:t>
            </w:r>
          </w:p>
        </w:tc>
        <w:tc>
          <w:tcPr>
            <w:tcW w:w="3560" w:type="dxa"/>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项目名称</w:t>
            </w:r>
          </w:p>
        </w:tc>
        <w:tc>
          <w:tcPr>
            <w:tcW w:w="1791" w:type="dxa"/>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项目建设起止时间</w:t>
            </w:r>
          </w:p>
        </w:tc>
        <w:tc>
          <w:tcPr>
            <w:tcW w:w="959" w:type="dxa"/>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总投资（万元）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restart"/>
            <w:vAlign w:val="center"/>
          </w:tcPr>
          <w:p>
            <w:pPr>
              <w:rPr>
                <w:rFonts w:ascii="仿宋" w:hAnsi="仿宋" w:eastAsia="仿宋" w:cs="仿宋"/>
                <w:color w:val="000000"/>
                <w:szCs w:val="21"/>
              </w:rPr>
            </w:pPr>
            <w:r>
              <w:rPr>
                <w:rFonts w:hint="eastAsia" w:ascii="仿宋" w:hAnsi="仿宋" w:eastAsia="仿宋" w:cs="仿宋"/>
                <w:color w:val="000000"/>
                <w:szCs w:val="21"/>
              </w:rPr>
              <w:t>技术</w:t>
            </w:r>
          </w:p>
          <w:p>
            <w:pPr>
              <w:rPr>
                <w:rFonts w:ascii="仿宋" w:hAnsi="仿宋" w:eastAsia="仿宋" w:cs="仿宋"/>
                <w:color w:val="000000"/>
                <w:szCs w:val="21"/>
              </w:rPr>
            </w:pPr>
            <w:r>
              <w:rPr>
                <w:rFonts w:hint="eastAsia" w:ascii="仿宋" w:hAnsi="仿宋" w:eastAsia="仿宋" w:cs="仿宋"/>
                <w:color w:val="000000"/>
                <w:szCs w:val="21"/>
              </w:rPr>
              <w:t>改造</w:t>
            </w: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1</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浙江四维医药科技有限公司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浙江四维医药科技有限公司百亿片制剂工程项目</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2018.10-2021.12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215000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2</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浙江水晶光电科技股份有限公司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年产1000万片智能终端用防护组件技改项目</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2019.8-2022.7</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20737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3</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浙江星星冷链集成股份有限公司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年产100万台智能冰箱、冷柜技术改造及厂房扩建项目</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2020.3-2021.6</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4</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台州市振港染料化工有限公司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年产18500吨染料升级项目</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2015.11-2020.12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97350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5</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台州市振港染料化工有限公司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年产250吨美罗培南侧链、500吨4-AA、100吨M3、100吨DAP、500吨磺酰胺及配套仓贮项目</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2018.08-2020.08</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6</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台州市振港染料化工有限公司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年产500吨M-562、300吨舒巴坦酸、600吨单酯、500吨萘普生和300吨A5项目</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2020.5-2022.12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7</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浙江鑫鼎塑业股份有限公司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年产100万只大型阻燃环保塑料垃圾桶技改项目及厂房扩建项目</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2019.11-2020.12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8770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8</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浙江乐普药业股份有限公司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年产300吨阿伐他汀中间体（A8）、500吨关键中间体（L1）、300吨阿伐他汀钙（L4）技改项目</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2019.9-2021.9</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9</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浙江乐普药业股份有限公司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年产100吨瑞舒伐他汀关键中间体R1.5、50吨瑞舒伐他汀钙原料药项目</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2019.2-2020.10</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6235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10</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浙江海正药业股份有限公司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年产2000万瓶冻干注射剂技改项目</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2020.6-2022.12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12145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11</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浙江新农化工股份有限公司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年产4000吨N-(1-乙基丙基)－3，4－二甲基苯胺、2500吨1，3-环己二酮、500吨N-异丙基－4－氟苯胺，配套600Nm3/h氢气项目</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2020.3-2021.12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restart"/>
            <w:vAlign w:val="center"/>
          </w:tcPr>
          <w:p>
            <w:pPr>
              <w:rPr>
                <w:rFonts w:ascii="仿宋" w:hAnsi="仿宋" w:eastAsia="仿宋" w:cs="仿宋"/>
                <w:color w:val="000000"/>
                <w:szCs w:val="21"/>
              </w:rPr>
            </w:pPr>
            <w:r>
              <w:rPr>
                <w:rFonts w:hint="eastAsia" w:ascii="仿宋" w:hAnsi="仿宋" w:eastAsia="仿宋" w:cs="仿宋"/>
                <w:color w:val="000000"/>
                <w:szCs w:val="21"/>
              </w:rPr>
              <w:t>开竣工</w:t>
            </w: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1</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浙江星星冷链集成股份有限公司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年产300万台冰箱冷柜五金、塑料等配套件技术改造项目开工</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2020.8-2021.6</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2</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浙江衣拿智能科技股份有限公司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空中物流智能吊挂系统生产基地项目开工</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2020.9-2022.2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26500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3</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台州市前进化工有限公司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年产3000吨活性艳蓝KE-GN、年产2000吨艳蓝KE-BB、1000吨年产艳蓝ME-BR项目开工</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2020.9-2022.6</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21582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4</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浙江海翔药业股份有限公司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年产5000万瓶无菌粉针剂、5000万支冻干粉针剂与4亿支水针剂以及年产100亿片（粒）固体制剂的技改项目及厂房改扩建项目开工</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2020.10-2025.3</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93000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5</w:t>
            </w:r>
          </w:p>
        </w:tc>
        <w:tc>
          <w:tcPr>
            <w:tcW w:w="2445" w:type="dxa"/>
            <w:vAlign w:val="center"/>
          </w:tcPr>
          <w:p>
            <w:pPr>
              <w:rPr>
                <w:rFonts w:ascii="仿宋" w:hAnsi="仿宋" w:eastAsia="仿宋" w:cs="仿宋"/>
                <w:color w:val="000000"/>
                <w:szCs w:val="21"/>
              </w:rPr>
            </w:pPr>
            <w:r>
              <w:rPr>
                <w:rFonts w:ascii="仿宋" w:hAnsi="仿宋" w:eastAsia="仿宋" w:cs="仿宋"/>
                <w:color w:val="000000"/>
                <w:szCs w:val="21"/>
              </w:rPr>
              <w:t>广微控股有限公司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集成电路制造项目开工</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2021.5-2023.6</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6</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台州百利塑模科技有限公司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年产智能马桶精密模具300副、配件150万套建设项目竣工</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2019.5-2021.5</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7</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浙江乐普药业股份有限公司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年产30亿片固体制剂技改项目竣工</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2016.5-2020.9</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22713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8</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长鹰信质科技股份有限公司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智能工厂建设项目竣工</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2018.06-2021.12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9</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浙江摩尔舒智能卫浴有限公司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年产40万台(套)各类卫浴产品建设项目竣工</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2018.5-2020.12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10400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10</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浙江新顺发缝纫机科技股份有限公司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年产30万台高效节能工业缝纫机（嵌入式数字控制）建设项目竣工</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2018.8-2020.10</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11</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浙江万洁智能卫浴有限公司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年产10万台整体机智能马桶建设项目竣工</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2018.7-2020.12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11250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5" w:type="dxa"/>
            <w:vMerge w:val="restart"/>
            <w:vAlign w:val="center"/>
          </w:tcPr>
          <w:p>
            <w:pPr>
              <w:jc w:val="center"/>
              <w:rPr>
                <w:rFonts w:ascii="仿宋" w:hAnsi="仿宋" w:eastAsia="仿宋" w:cs="仿宋"/>
                <w:color w:val="000000"/>
                <w:szCs w:val="21"/>
              </w:rPr>
            </w:pPr>
            <w:r>
              <w:rPr>
                <w:rFonts w:hint="eastAsia" w:ascii="仿宋" w:hAnsi="仿宋" w:eastAsia="仿宋" w:cs="仿宋"/>
                <w:color w:val="000000"/>
                <w:szCs w:val="21"/>
              </w:rPr>
              <w:t>数字化转型</w:t>
            </w: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1</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椒江区政府</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台州湾数字经济产业园</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2020.01-2025.12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2</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浙江水晶光电科技股份有限公司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年产4.7亿套智能终端用光学组件技改项目</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2020.01-2021.12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145922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3</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杰克缝纫机股份有限公司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年产100万台联网化智能缝纫机</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2019.01-2021.12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45600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4</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浙江星星科技股份有限公司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年产500万片15-65寸中大尺寸玻璃盖板</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2018.11-2020.12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5</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台州万轩网络科技有限责任公司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工业互联网标识解析二级节点建设</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2019.01-2021.12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6</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浙江博弈科技股份有限公司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智能工厂建设项目</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2019.1-2021.4</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7</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浙江星星冷链集成股份有限公司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食品饮料智能远程无人零售终端设备智能工厂项目</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2018.12-2020.12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8</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台州道致科技股份有限公司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医药化工数字化生产系统</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2019.01-2020.12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9</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飞跃科创园</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数字化示范区——小微企业园</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2019.01-2020.12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10</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聚星科创园</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数字化示范区——小微企业园</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2019.01-2021.12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11</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杰克缝纫机股份有限公司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智能缝制产业工业互联网平台</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2019.01-2020.12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12</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浙江蓝景科技有限公司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工业危险废物全流程监管平台</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2018.01-2020.12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13</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浙江星星冷链集成股份有限公司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服务型制造</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2019.01-2020.12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14</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浙江怡和卫浴有限公司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智能马桶数字化（CRM）销售系统建设</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2020.03-2021.12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vMerge w:val="restart"/>
            <w:vAlign w:val="center"/>
          </w:tcPr>
          <w:p>
            <w:pPr>
              <w:jc w:val="center"/>
              <w:rPr>
                <w:rFonts w:ascii="仿宋" w:hAnsi="仿宋" w:eastAsia="仿宋" w:cs="仿宋"/>
                <w:color w:val="000000"/>
                <w:szCs w:val="21"/>
              </w:rPr>
            </w:pPr>
            <w:r>
              <w:rPr>
                <w:rFonts w:hint="eastAsia" w:ascii="仿宋" w:hAnsi="仿宋" w:eastAsia="仿宋" w:cs="仿宋"/>
                <w:color w:val="000000"/>
                <w:szCs w:val="21"/>
              </w:rPr>
              <w:t>小微园（老旧工业园）</w:t>
            </w: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1</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台州飞跃科创园有限公司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飞跃科创园三期</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2018.1-2021.6</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21160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2</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台州星星置业有限公司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聚星科创园</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2018.12-2020.9</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3</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北京联东投资（集团）有限公司</w:t>
            </w:r>
          </w:p>
        </w:tc>
        <w:tc>
          <w:tcPr>
            <w:tcW w:w="3560" w:type="dxa"/>
            <w:vAlign w:val="center"/>
          </w:tcPr>
          <w:p>
            <w:pPr>
              <w:rPr>
                <w:rFonts w:ascii="仿宋" w:hAnsi="仿宋" w:eastAsia="仿宋" w:cs="仿宋"/>
                <w:color w:val="000000"/>
                <w:szCs w:val="21"/>
              </w:rPr>
            </w:pPr>
            <w:r>
              <w:rPr>
                <w:rFonts w:hint="eastAsia" w:ascii="仿宋" w:hAnsi="仿宋" w:eastAsia="仿宋" w:cs="仿宋"/>
                <w:color w:val="000000"/>
                <w:szCs w:val="21"/>
              </w:rPr>
              <w:t>联动U谷科技创新园</w:t>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2020.12-2023.12</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4</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台州椒江宏瑞置业有限公司</w:t>
            </w:r>
          </w:p>
        </w:tc>
        <w:tc>
          <w:tcPr>
            <w:tcW w:w="3560" w:type="dxa"/>
            <w:vAlign w:val="center"/>
          </w:tcPr>
          <w:p>
            <w:pPr>
              <w:rPr>
                <w:rFonts w:ascii="仿宋" w:hAnsi="仿宋" w:eastAsia="仿宋" w:cs="仿宋"/>
                <w:color w:val="000000"/>
                <w:szCs w:val="21"/>
              </w:rPr>
            </w:pPr>
            <w:r>
              <w:fldChar w:fldCharType="begin"/>
            </w:r>
            <w:r>
              <w:instrText xml:space="preserve"> HYPERLINK "http://59.202.38.18:18181/tzxmapp/pages/complex/complexquerylist.jsp" </w:instrText>
            </w:r>
            <w:r>
              <w:fldChar w:fldCharType="separate"/>
            </w:r>
            <w:r>
              <w:rPr>
                <w:rFonts w:hint="eastAsia" w:ascii="仿宋" w:hAnsi="仿宋" w:eastAsia="仿宋" w:cs="仿宋"/>
                <w:color w:val="000000"/>
                <w:szCs w:val="21"/>
              </w:rPr>
              <w:t>台州椒江宏地智能科创城</w:t>
            </w:r>
            <w:r>
              <w:rPr>
                <w:rFonts w:hint="eastAsia" w:ascii="仿宋" w:hAnsi="仿宋" w:eastAsia="仿宋" w:cs="仿宋"/>
                <w:color w:val="000000"/>
                <w:szCs w:val="21"/>
              </w:rPr>
              <w:fldChar w:fldCharType="end"/>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2020.4-2023.6</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101232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Pr>
          <w:p>
            <w:pPr>
              <w:rPr>
                <w:rFonts w:ascii="仿宋" w:hAnsi="仿宋" w:eastAsia="仿宋" w:cs="仿宋"/>
                <w:color w:val="000000"/>
                <w:szCs w:val="21"/>
              </w:rPr>
            </w:pPr>
          </w:p>
        </w:tc>
        <w:tc>
          <w:tcPr>
            <w:tcW w:w="4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5</w:t>
            </w:r>
          </w:p>
        </w:tc>
        <w:tc>
          <w:tcPr>
            <w:tcW w:w="2445" w:type="dxa"/>
            <w:vAlign w:val="center"/>
          </w:tcPr>
          <w:p>
            <w:pPr>
              <w:rPr>
                <w:rFonts w:ascii="仿宋" w:hAnsi="仿宋" w:eastAsia="仿宋" w:cs="仿宋"/>
                <w:color w:val="000000"/>
                <w:szCs w:val="21"/>
              </w:rPr>
            </w:pPr>
            <w:r>
              <w:rPr>
                <w:rFonts w:hint="eastAsia" w:ascii="仿宋" w:hAnsi="仿宋" w:eastAsia="仿宋" w:cs="仿宋"/>
                <w:color w:val="000000"/>
                <w:szCs w:val="21"/>
              </w:rPr>
              <w:t>台州市国强京商城市发展有限公司</w:t>
            </w:r>
          </w:p>
        </w:tc>
        <w:tc>
          <w:tcPr>
            <w:tcW w:w="3560" w:type="dxa"/>
            <w:vAlign w:val="center"/>
          </w:tcPr>
          <w:p>
            <w:pPr>
              <w:rPr>
                <w:rFonts w:ascii="仿宋" w:hAnsi="仿宋" w:eastAsia="仿宋" w:cs="仿宋"/>
                <w:color w:val="000000"/>
                <w:szCs w:val="21"/>
              </w:rPr>
            </w:pPr>
            <w:r>
              <w:fldChar w:fldCharType="begin"/>
            </w:r>
            <w:r>
              <w:instrText xml:space="preserve"> HYPERLINK "http://59.202.38.18:18181/tzxmapp/pages/complex/complexquerylist.jsp" </w:instrText>
            </w:r>
            <w:r>
              <w:fldChar w:fldCharType="separate"/>
            </w:r>
            <w:r>
              <w:rPr>
                <w:rFonts w:hint="eastAsia" w:ascii="仿宋" w:hAnsi="仿宋" w:eastAsia="仿宋" w:cs="仿宋"/>
                <w:color w:val="000000"/>
                <w:szCs w:val="21"/>
              </w:rPr>
              <w:t>江北眼镜科创园</w:t>
            </w:r>
            <w:r>
              <w:rPr>
                <w:rFonts w:hint="eastAsia" w:ascii="仿宋" w:hAnsi="仿宋" w:eastAsia="仿宋" w:cs="仿宋"/>
                <w:color w:val="000000"/>
                <w:szCs w:val="21"/>
              </w:rPr>
              <w:fldChar w:fldCharType="end"/>
            </w:r>
          </w:p>
        </w:tc>
        <w:tc>
          <w:tcPr>
            <w:tcW w:w="1791" w:type="dxa"/>
            <w:vAlign w:val="center"/>
          </w:tcPr>
          <w:p>
            <w:pPr>
              <w:rPr>
                <w:rFonts w:ascii="仿宋" w:hAnsi="仿宋" w:eastAsia="仿宋" w:cs="仿宋"/>
                <w:color w:val="000000"/>
                <w:szCs w:val="21"/>
              </w:rPr>
            </w:pPr>
            <w:r>
              <w:rPr>
                <w:rFonts w:hint="eastAsia" w:ascii="仿宋" w:hAnsi="仿宋" w:eastAsia="仿宋" w:cs="仿宋"/>
                <w:color w:val="000000"/>
                <w:szCs w:val="21"/>
              </w:rPr>
              <w:t>2020.5-2022.5</w:t>
            </w:r>
          </w:p>
        </w:tc>
        <w:tc>
          <w:tcPr>
            <w:tcW w:w="959" w:type="dxa"/>
            <w:vAlign w:val="center"/>
          </w:tcPr>
          <w:p>
            <w:pPr>
              <w:rPr>
                <w:rFonts w:ascii="仿宋" w:hAnsi="仿宋" w:eastAsia="仿宋" w:cs="仿宋"/>
                <w:color w:val="000000"/>
                <w:szCs w:val="21"/>
              </w:rPr>
            </w:pPr>
            <w:r>
              <w:rPr>
                <w:rFonts w:hint="eastAsia" w:ascii="仿宋" w:hAnsi="仿宋" w:eastAsia="仿宋" w:cs="仿宋"/>
                <w:color w:val="000000"/>
                <w:szCs w:val="21"/>
              </w:rPr>
              <w:t>50000</w:t>
            </w:r>
          </w:p>
        </w:tc>
      </w:tr>
    </w:tbl>
    <w:p/>
    <w:p>
      <w:pPr>
        <w:rPr>
          <w:rFonts w:ascii="仿宋_GB2312" w:eastAsia="仿宋_GB2312"/>
          <w:sz w:val="32"/>
          <w:szCs w:val="32"/>
        </w:rPr>
      </w:pPr>
    </w:p>
    <w:p>
      <w:pPr>
        <w:rPr>
          <w:rFonts w:ascii="仿宋_GB2312" w:hAnsi="Calibri" w:eastAsia="仿宋_GB2312" w:cs="Times New Roman"/>
          <w:b/>
          <w:sz w:val="32"/>
          <w:szCs w:val="32"/>
        </w:rPr>
      </w:pPr>
      <w:r>
        <w:rPr>
          <w:rFonts w:hint="eastAsia" w:ascii="仿宋_GB2312" w:hAnsi="Calibri" w:eastAsia="仿宋_GB2312" w:cs="Times New Roman"/>
          <w:b/>
          <w:sz w:val="32"/>
          <w:szCs w:val="32"/>
        </w:rPr>
        <w:br w:type="page"/>
      </w:r>
    </w:p>
    <w:p>
      <w:pPr>
        <w:rPr>
          <w:rFonts w:ascii="仿宋_GB2312" w:hAnsi="Calibri" w:eastAsia="仿宋_GB2312" w:cs="Times New Roman"/>
          <w:b/>
          <w:sz w:val="32"/>
          <w:szCs w:val="32"/>
        </w:rPr>
      </w:pPr>
    </w:p>
    <w:p>
      <w:pPr>
        <w:rPr>
          <w:rFonts w:ascii="仿宋_GB2312" w:hAnsi="Calibri" w:eastAsia="仿宋_GB2312" w:cs="Times New Roman"/>
          <w:b/>
          <w:sz w:val="32"/>
          <w:szCs w:val="32"/>
        </w:rPr>
      </w:pPr>
      <w:r>
        <w:rPr>
          <w:rFonts w:hint="eastAsia" w:ascii="仿宋_GB2312" w:hAnsi="Calibri" w:eastAsia="仿宋_GB2312" w:cs="Times New Roman"/>
          <w:bCs/>
          <w:sz w:val="32"/>
          <w:szCs w:val="32"/>
        </w:rPr>
        <w:t>附件二</w:t>
      </w:r>
    </w:p>
    <w:p>
      <w:pPr>
        <w:jc w:val="center"/>
        <w:rPr>
          <w:rFonts w:ascii="仿宋_GB2312" w:hAnsi="Calibri" w:eastAsia="仿宋_GB2312" w:cs="Times New Roman"/>
          <w:b/>
          <w:sz w:val="44"/>
          <w:szCs w:val="44"/>
        </w:rPr>
      </w:pPr>
      <w:r>
        <w:rPr>
          <w:rFonts w:hint="eastAsia" w:ascii="仿宋_GB2312" w:hAnsi="Calibri" w:eastAsia="仿宋_GB2312" w:cs="Times New Roman"/>
          <w:b/>
          <w:sz w:val="44"/>
          <w:szCs w:val="44"/>
        </w:rPr>
        <w:t>上市培育企业名录</w:t>
      </w:r>
    </w:p>
    <w:tbl>
      <w:tblPr>
        <w:tblStyle w:val="9"/>
        <w:tblW w:w="8280" w:type="dxa"/>
        <w:tblInd w:w="93" w:type="dxa"/>
        <w:tblLayout w:type="autofit"/>
        <w:tblCellMar>
          <w:top w:w="0" w:type="dxa"/>
          <w:left w:w="108" w:type="dxa"/>
          <w:bottom w:w="0" w:type="dxa"/>
          <w:right w:w="108" w:type="dxa"/>
        </w:tblCellMar>
      </w:tblPr>
      <w:tblGrid>
        <w:gridCol w:w="1080"/>
        <w:gridCol w:w="1860"/>
        <w:gridCol w:w="1940"/>
        <w:gridCol w:w="3400"/>
      </w:tblGrid>
      <w:tr>
        <w:tblPrEx>
          <w:tblCellMar>
            <w:top w:w="0" w:type="dxa"/>
            <w:left w:w="108" w:type="dxa"/>
            <w:bottom w:w="0" w:type="dxa"/>
            <w:right w:w="108" w:type="dxa"/>
          </w:tblCellMar>
        </w:tblPrEx>
        <w:trPr>
          <w:trHeight w:val="312" w:hRule="atLeast"/>
        </w:trPr>
        <w:tc>
          <w:tcPr>
            <w:tcW w:w="1080"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1860"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企业名称</w:t>
            </w:r>
          </w:p>
        </w:tc>
        <w:tc>
          <w:tcPr>
            <w:tcW w:w="1940"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所属行业</w:t>
            </w:r>
          </w:p>
        </w:tc>
        <w:tc>
          <w:tcPr>
            <w:tcW w:w="3400" w:type="dxa"/>
            <w:vMerge w:val="restart"/>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上市计划</w:t>
            </w:r>
          </w:p>
        </w:tc>
      </w:tr>
      <w:tr>
        <w:tblPrEx>
          <w:tblCellMar>
            <w:top w:w="0" w:type="dxa"/>
            <w:left w:w="108" w:type="dxa"/>
            <w:bottom w:w="0" w:type="dxa"/>
            <w:right w:w="108" w:type="dxa"/>
          </w:tblCellMar>
        </w:tblPrEx>
        <w:trPr>
          <w:trHeight w:val="312" w:hRule="atLeast"/>
        </w:trPr>
        <w:tc>
          <w:tcPr>
            <w:tcW w:w="1080"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1860"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1940"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3400" w:type="dxa"/>
            <w:vMerge w:val="continue"/>
            <w:tcBorders>
              <w:top w:val="single" w:color="auto" w:sz="12" w:space="0"/>
              <w:left w:val="single" w:color="auto" w:sz="4" w:space="0"/>
              <w:bottom w:val="single" w:color="auto" w:sz="4" w:space="0"/>
              <w:right w:val="single" w:color="auto" w:sz="12" w:space="0"/>
            </w:tcBorders>
            <w:vAlign w:val="center"/>
          </w:tcPr>
          <w:p>
            <w:pPr>
              <w:widowControl/>
              <w:jc w:val="left"/>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450" w:hRule="atLeast"/>
        </w:trPr>
        <w:tc>
          <w:tcPr>
            <w:tcW w:w="1080"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浙江衣拿智能科技股份有限公司</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成衣吊挂</w:t>
            </w:r>
          </w:p>
        </w:tc>
        <w:tc>
          <w:tcPr>
            <w:tcW w:w="3400"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2020年报会（科创板）</w:t>
            </w:r>
          </w:p>
        </w:tc>
      </w:tr>
      <w:tr>
        <w:tblPrEx>
          <w:tblCellMar>
            <w:top w:w="0" w:type="dxa"/>
            <w:left w:w="108" w:type="dxa"/>
            <w:bottom w:w="0" w:type="dxa"/>
            <w:right w:w="108" w:type="dxa"/>
          </w:tblCellMar>
        </w:tblPrEx>
        <w:trPr>
          <w:trHeight w:val="450" w:hRule="atLeast"/>
        </w:trPr>
        <w:tc>
          <w:tcPr>
            <w:tcW w:w="1080"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顺毅股份有限公司</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化学原料和化学制品制造业</w:t>
            </w:r>
          </w:p>
        </w:tc>
        <w:tc>
          <w:tcPr>
            <w:tcW w:w="3400"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2020年报会（创业板）</w:t>
            </w:r>
          </w:p>
        </w:tc>
      </w:tr>
      <w:tr>
        <w:tblPrEx>
          <w:tblCellMar>
            <w:top w:w="0" w:type="dxa"/>
            <w:left w:w="108" w:type="dxa"/>
            <w:bottom w:w="0" w:type="dxa"/>
            <w:right w:w="108" w:type="dxa"/>
          </w:tblCellMar>
        </w:tblPrEx>
        <w:trPr>
          <w:trHeight w:val="450" w:hRule="atLeast"/>
        </w:trPr>
        <w:tc>
          <w:tcPr>
            <w:tcW w:w="1080"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浙江星星冷链集成股份有限公司</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通用设备制造业</w:t>
            </w:r>
          </w:p>
        </w:tc>
        <w:tc>
          <w:tcPr>
            <w:tcW w:w="3400"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2021年报会（主板）</w:t>
            </w:r>
          </w:p>
        </w:tc>
      </w:tr>
      <w:tr>
        <w:tblPrEx>
          <w:tblCellMar>
            <w:top w:w="0" w:type="dxa"/>
            <w:left w:w="108" w:type="dxa"/>
            <w:bottom w:w="0" w:type="dxa"/>
            <w:right w:w="108" w:type="dxa"/>
          </w:tblCellMar>
        </w:tblPrEx>
        <w:trPr>
          <w:trHeight w:val="450" w:hRule="atLeast"/>
        </w:trPr>
        <w:tc>
          <w:tcPr>
            <w:tcW w:w="1080"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浙江台州农资股份有限公司</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批发业</w:t>
            </w:r>
          </w:p>
        </w:tc>
        <w:tc>
          <w:tcPr>
            <w:tcW w:w="3400"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2022年报会（主板或中小板）</w:t>
            </w:r>
          </w:p>
        </w:tc>
      </w:tr>
      <w:tr>
        <w:tblPrEx>
          <w:tblCellMar>
            <w:top w:w="0" w:type="dxa"/>
            <w:left w:w="108" w:type="dxa"/>
            <w:bottom w:w="0" w:type="dxa"/>
            <w:right w:w="108" w:type="dxa"/>
          </w:tblCellMar>
        </w:tblPrEx>
        <w:trPr>
          <w:trHeight w:val="450" w:hRule="atLeast"/>
        </w:trPr>
        <w:tc>
          <w:tcPr>
            <w:tcW w:w="1080"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浙江海正生物材料股份有限公司</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医药制造业</w:t>
            </w:r>
          </w:p>
        </w:tc>
        <w:tc>
          <w:tcPr>
            <w:tcW w:w="3400"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2022年报会（科创板）</w:t>
            </w:r>
          </w:p>
        </w:tc>
      </w:tr>
      <w:tr>
        <w:tblPrEx>
          <w:tblCellMar>
            <w:top w:w="0" w:type="dxa"/>
            <w:left w:w="108" w:type="dxa"/>
            <w:bottom w:w="0" w:type="dxa"/>
            <w:right w:w="108" w:type="dxa"/>
          </w:tblCellMar>
        </w:tblPrEx>
        <w:trPr>
          <w:trHeight w:val="450" w:hRule="atLeast"/>
        </w:trPr>
        <w:tc>
          <w:tcPr>
            <w:tcW w:w="1080"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86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 w:val="18"/>
                <w:szCs w:val="18"/>
              </w:rPr>
            </w:pPr>
            <w:r>
              <w:rPr>
                <w:rFonts w:hint="eastAsia"/>
                <w:color w:val="000000"/>
                <w:sz w:val="18"/>
                <w:szCs w:val="18"/>
              </w:rPr>
              <w:t>浙江海正博锐生物制药有限公司</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医药制造业</w:t>
            </w:r>
          </w:p>
        </w:tc>
        <w:tc>
          <w:tcPr>
            <w:tcW w:w="3400"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2022年上市（港股）</w:t>
            </w:r>
          </w:p>
        </w:tc>
      </w:tr>
      <w:tr>
        <w:tblPrEx>
          <w:tblCellMar>
            <w:top w:w="0" w:type="dxa"/>
            <w:left w:w="108" w:type="dxa"/>
            <w:bottom w:w="0" w:type="dxa"/>
            <w:right w:w="108" w:type="dxa"/>
          </w:tblCellMar>
        </w:tblPrEx>
        <w:trPr>
          <w:trHeight w:val="450" w:hRule="atLeast"/>
        </w:trPr>
        <w:tc>
          <w:tcPr>
            <w:tcW w:w="1080"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浙江山峪集团股份有限公司</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化学原料和化学制品制造业</w:t>
            </w:r>
          </w:p>
        </w:tc>
        <w:tc>
          <w:tcPr>
            <w:tcW w:w="3400"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2022报辅导(主板)</w:t>
            </w:r>
          </w:p>
        </w:tc>
      </w:tr>
      <w:tr>
        <w:tblPrEx>
          <w:tblCellMar>
            <w:top w:w="0" w:type="dxa"/>
            <w:left w:w="108" w:type="dxa"/>
            <w:bottom w:w="0" w:type="dxa"/>
            <w:right w:w="108" w:type="dxa"/>
          </w:tblCellMar>
        </w:tblPrEx>
        <w:trPr>
          <w:trHeight w:val="450" w:hRule="atLeast"/>
        </w:trPr>
        <w:tc>
          <w:tcPr>
            <w:tcW w:w="1080"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860" w:type="dxa"/>
            <w:tcBorders>
              <w:top w:val="nil"/>
              <w:left w:val="nil"/>
              <w:bottom w:val="single" w:color="auto" w:sz="4" w:space="0"/>
              <w:right w:val="single" w:color="auto" w:sz="4" w:space="0"/>
            </w:tcBorders>
            <w:shd w:val="clear" w:color="auto" w:fill="auto"/>
            <w:vAlign w:val="center"/>
          </w:tcPr>
          <w:p>
            <w:pPr>
              <w:jc w:val="left"/>
              <w:rPr>
                <w:color w:val="000000"/>
                <w:sz w:val="18"/>
                <w:szCs w:val="18"/>
              </w:rPr>
            </w:pPr>
            <w:r>
              <w:rPr>
                <w:rFonts w:hint="eastAsia"/>
                <w:color w:val="000000"/>
                <w:sz w:val="18"/>
                <w:szCs w:val="18"/>
              </w:rPr>
              <w:t>浙江江北药业有限公司</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化学原料和化学制品制造业</w:t>
            </w:r>
          </w:p>
        </w:tc>
        <w:tc>
          <w:tcPr>
            <w:tcW w:w="3400"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2022年报辅导（主板）</w:t>
            </w:r>
          </w:p>
        </w:tc>
      </w:tr>
      <w:tr>
        <w:tblPrEx>
          <w:tblCellMar>
            <w:top w:w="0" w:type="dxa"/>
            <w:left w:w="108" w:type="dxa"/>
            <w:bottom w:w="0" w:type="dxa"/>
            <w:right w:w="108" w:type="dxa"/>
          </w:tblCellMar>
        </w:tblPrEx>
        <w:trPr>
          <w:trHeight w:val="450" w:hRule="atLeast"/>
        </w:trPr>
        <w:tc>
          <w:tcPr>
            <w:tcW w:w="1080"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860" w:type="dxa"/>
            <w:tcBorders>
              <w:top w:val="nil"/>
              <w:left w:val="nil"/>
              <w:bottom w:val="single" w:color="auto" w:sz="4" w:space="0"/>
              <w:right w:val="single" w:color="auto" w:sz="4" w:space="0"/>
            </w:tcBorders>
            <w:shd w:val="clear" w:color="auto" w:fill="auto"/>
            <w:vAlign w:val="center"/>
          </w:tcPr>
          <w:p>
            <w:pPr>
              <w:jc w:val="left"/>
              <w:rPr>
                <w:color w:val="000000"/>
                <w:sz w:val="18"/>
                <w:szCs w:val="18"/>
              </w:rPr>
            </w:pPr>
            <w:r>
              <w:rPr>
                <w:rFonts w:hint="eastAsia"/>
                <w:color w:val="000000"/>
                <w:sz w:val="18"/>
                <w:szCs w:val="18"/>
              </w:rPr>
              <w:t>浙江博弈科技股份有限公司</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汽车制造业</w:t>
            </w:r>
          </w:p>
        </w:tc>
        <w:tc>
          <w:tcPr>
            <w:tcW w:w="3400"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2022年报辅导（创业板）</w:t>
            </w:r>
          </w:p>
        </w:tc>
      </w:tr>
      <w:tr>
        <w:tblPrEx>
          <w:tblCellMar>
            <w:top w:w="0" w:type="dxa"/>
            <w:left w:w="108" w:type="dxa"/>
            <w:bottom w:w="0" w:type="dxa"/>
            <w:right w:w="108" w:type="dxa"/>
          </w:tblCellMar>
        </w:tblPrEx>
        <w:trPr>
          <w:trHeight w:val="450" w:hRule="atLeast"/>
        </w:trPr>
        <w:tc>
          <w:tcPr>
            <w:tcW w:w="1080" w:type="dxa"/>
            <w:tcBorders>
              <w:top w:val="nil"/>
              <w:left w:val="single" w:color="auto" w:sz="12" w:space="0"/>
              <w:bottom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860" w:type="dxa"/>
            <w:tcBorders>
              <w:top w:val="nil"/>
              <w:left w:val="nil"/>
              <w:bottom w:val="nil"/>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泰田集团有限公司</w:t>
            </w:r>
          </w:p>
        </w:tc>
        <w:tc>
          <w:tcPr>
            <w:tcW w:w="194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通用设备制造业</w:t>
            </w:r>
          </w:p>
        </w:tc>
        <w:tc>
          <w:tcPr>
            <w:tcW w:w="3400" w:type="dxa"/>
            <w:tcBorders>
              <w:top w:val="nil"/>
              <w:left w:val="nil"/>
              <w:bottom w:val="nil"/>
              <w:right w:val="single" w:color="auto" w:sz="12"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2022年完成股改（主板）</w:t>
            </w:r>
          </w:p>
        </w:tc>
      </w:tr>
      <w:tr>
        <w:tblPrEx>
          <w:tblCellMar>
            <w:top w:w="0" w:type="dxa"/>
            <w:left w:w="108" w:type="dxa"/>
            <w:bottom w:w="0" w:type="dxa"/>
            <w:right w:w="108" w:type="dxa"/>
          </w:tblCellMar>
        </w:tblPrEx>
        <w:trPr>
          <w:trHeight w:val="450" w:hRule="atLeast"/>
        </w:trPr>
        <w:tc>
          <w:tcPr>
            <w:tcW w:w="1080" w:type="dxa"/>
            <w:tcBorders>
              <w:top w:val="nil"/>
              <w:left w:val="single" w:color="auto" w:sz="12" w:space="0"/>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p>
        </w:tc>
        <w:tc>
          <w:tcPr>
            <w:tcW w:w="1860" w:type="dxa"/>
            <w:tcBorders>
              <w:top w:val="nil"/>
              <w:left w:val="nil"/>
              <w:bottom w:val="single" w:color="auto" w:sz="4" w:space="0"/>
              <w:right w:val="single" w:color="auto" w:sz="4" w:space="0"/>
            </w:tcBorders>
            <w:shd w:val="clear" w:color="auto" w:fill="auto"/>
            <w:vAlign w:val="center"/>
          </w:tcPr>
          <w:p>
            <w:pPr>
              <w:jc w:val="left"/>
              <w:rPr>
                <w:color w:val="000000"/>
                <w:sz w:val="18"/>
                <w:szCs w:val="18"/>
              </w:rPr>
            </w:pPr>
          </w:p>
        </w:tc>
        <w:tc>
          <w:tcPr>
            <w:tcW w:w="194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p>
        </w:tc>
        <w:tc>
          <w:tcPr>
            <w:tcW w:w="3400" w:type="dxa"/>
            <w:tcBorders>
              <w:top w:val="nil"/>
              <w:left w:val="nil"/>
              <w:bottom w:val="single" w:color="auto" w:sz="4" w:space="0"/>
              <w:right w:val="single" w:color="auto" w:sz="12" w:space="0"/>
            </w:tcBorders>
            <w:shd w:val="clear" w:color="auto" w:fill="auto"/>
            <w:noWrap/>
            <w:vAlign w:val="center"/>
          </w:tcPr>
          <w:p>
            <w:pPr>
              <w:widowControl/>
              <w:rPr>
                <w:rFonts w:ascii="宋体" w:hAnsi="宋体" w:eastAsia="宋体" w:cs="宋体"/>
                <w:color w:val="000000"/>
                <w:kern w:val="0"/>
                <w:sz w:val="18"/>
                <w:szCs w:val="18"/>
              </w:rPr>
            </w:pPr>
          </w:p>
        </w:tc>
      </w:tr>
    </w:tbl>
    <w:p>
      <w:pPr>
        <w:spacing w:line="600" w:lineRule="exact"/>
        <w:rPr>
          <w:rFonts w:ascii="仿宋_GB2312" w:hAnsi="Calibri" w:eastAsia="仿宋_GB2312" w:cs="Times New Roman"/>
          <w:sz w:val="32"/>
          <w:szCs w:val="32"/>
        </w:rPr>
      </w:pPr>
    </w:p>
    <w:p>
      <w:pPr>
        <w:rPr>
          <w:rFonts w:ascii="Times New Roman" w:hAnsi="Times New Roman" w:cs="Times New Roman"/>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28"/>
    <w:rsid w:val="000023AC"/>
    <w:rsid w:val="000034B2"/>
    <w:rsid w:val="00013B2E"/>
    <w:rsid w:val="00052758"/>
    <w:rsid w:val="000604DF"/>
    <w:rsid w:val="0006555E"/>
    <w:rsid w:val="000705B2"/>
    <w:rsid w:val="00082EFB"/>
    <w:rsid w:val="000B1141"/>
    <w:rsid w:val="000B282E"/>
    <w:rsid w:val="000C7314"/>
    <w:rsid w:val="000E4EB2"/>
    <w:rsid w:val="000E7455"/>
    <w:rsid w:val="000F15C9"/>
    <w:rsid w:val="000F3709"/>
    <w:rsid w:val="001112B4"/>
    <w:rsid w:val="0012532E"/>
    <w:rsid w:val="0012717B"/>
    <w:rsid w:val="00133DDC"/>
    <w:rsid w:val="00137C9D"/>
    <w:rsid w:val="0016044F"/>
    <w:rsid w:val="00166394"/>
    <w:rsid w:val="00171C0F"/>
    <w:rsid w:val="00191A48"/>
    <w:rsid w:val="001A1A14"/>
    <w:rsid w:val="001D0D24"/>
    <w:rsid w:val="001D3F2A"/>
    <w:rsid w:val="00206A54"/>
    <w:rsid w:val="00232E5B"/>
    <w:rsid w:val="002727C4"/>
    <w:rsid w:val="002860A2"/>
    <w:rsid w:val="0028686E"/>
    <w:rsid w:val="0029652B"/>
    <w:rsid w:val="002B01D4"/>
    <w:rsid w:val="002B08AD"/>
    <w:rsid w:val="002C5152"/>
    <w:rsid w:val="002F1C18"/>
    <w:rsid w:val="00310A88"/>
    <w:rsid w:val="003412E0"/>
    <w:rsid w:val="00352DA2"/>
    <w:rsid w:val="00370973"/>
    <w:rsid w:val="003A48F6"/>
    <w:rsid w:val="003B6E4B"/>
    <w:rsid w:val="003C508E"/>
    <w:rsid w:val="003D593B"/>
    <w:rsid w:val="00417618"/>
    <w:rsid w:val="0042712C"/>
    <w:rsid w:val="00452B55"/>
    <w:rsid w:val="00454915"/>
    <w:rsid w:val="00472808"/>
    <w:rsid w:val="00475306"/>
    <w:rsid w:val="00494AB9"/>
    <w:rsid w:val="004A6E52"/>
    <w:rsid w:val="004B3039"/>
    <w:rsid w:val="004D219A"/>
    <w:rsid w:val="004D6EA8"/>
    <w:rsid w:val="004E71F7"/>
    <w:rsid w:val="004F3A7F"/>
    <w:rsid w:val="004F4080"/>
    <w:rsid w:val="005564E8"/>
    <w:rsid w:val="005624C6"/>
    <w:rsid w:val="005637B2"/>
    <w:rsid w:val="00570660"/>
    <w:rsid w:val="00585A25"/>
    <w:rsid w:val="005C4E6F"/>
    <w:rsid w:val="005E08A6"/>
    <w:rsid w:val="00647B72"/>
    <w:rsid w:val="0065075D"/>
    <w:rsid w:val="00656A28"/>
    <w:rsid w:val="00672A79"/>
    <w:rsid w:val="007029D0"/>
    <w:rsid w:val="007031EC"/>
    <w:rsid w:val="00761DCB"/>
    <w:rsid w:val="007772E0"/>
    <w:rsid w:val="00795EB5"/>
    <w:rsid w:val="007A6944"/>
    <w:rsid w:val="007D5A0A"/>
    <w:rsid w:val="007F3AEC"/>
    <w:rsid w:val="00807A39"/>
    <w:rsid w:val="00864948"/>
    <w:rsid w:val="00880CEF"/>
    <w:rsid w:val="00886C62"/>
    <w:rsid w:val="00890350"/>
    <w:rsid w:val="0089737F"/>
    <w:rsid w:val="008B197C"/>
    <w:rsid w:val="008B22C0"/>
    <w:rsid w:val="008C3476"/>
    <w:rsid w:val="008C7C1D"/>
    <w:rsid w:val="008D484D"/>
    <w:rsid w:val="008D59B0"/>
    <w:rsid w:val="008E4F94"/>
    <w:rsid w:val="00934B57"/>
    <w:rsid w:val="00935EBD"/>
    <w:rsid w:val="00951211"/>
    <w:rsid w:val="00957E89"/>
    <w:rsid w:val="0098531E"/>
    <w:rsid w:val="00990C11"/>
    <w:rsid w:val="00995C3B"/>
    <w:rsid w:val="009B1971"/>
    <w:rsid w:val="009D0E89"/>
    <w:rsid w:val="009E0ED1"/>
    <w:rsid w:val="009E10C1"/>
    <w:rsid w:val="009F22E3"/>
    <w:rsid w:val="009F6C35"/>
    <w:rsid w:val="00A23EA0"/>
    <w:rsid w:val="00A25712"/>
    <w:rsid w:val="00A37464"/>
    <w:rsid w:val="00A46A64"/>
    <w:rsid w:val="00A7559D"/>
    <w:rsid w:val="00A87D84"/>
    <w:rsid w:val="00A93E4C"/>
    <w:rsid w:val="00A94E56"/>
    <w:rsid w:val="00AE555A"/>
    <w:rsid w:val="00B46CF7"/>
    <w:rsid w:val="00B6117B"/>
    <w:rsid w:val="00B73276"/>
    <w:rsid w:val="00B823E9"/>
    <w:rsid w:val="00B842D6"/>
    <w:rsid w:val="00B85053"/>
    <w:rsid w:val="00C02FE8"/>
    <w:rsid w:val="00C04D4A"/>
    <w:rsid w:val="00C1384D"/>
    <w:rsid w:val="00C24FC7"/>
    <w:rsid w:val="00C31BC4"/>
    <w:rsid w:val="00C46D18"/>
    <w:rsid w:val="00C75861"/>
    <w:rsid w:val="00CA3AC4"/>
    <w:rsid w:val="00CB0174"/>
    <w:rsid w:val="00CB1B20"/>
    <w:rsid w:val="00CB4D7D"/>
    <w:rsid w:val="00CB68BD"/>
    <w:rsid w:val="00CC74B0"/>
    <w:rsid w:val="00CF40AA"/>
    <w:rsid w:val="00D122DE"/>
    <w:rsid w:val="00D222B4"/>
    <w:rsid w:val="00D238CC"/>
    <w:rsid w:val="00D30700"/>
    <w:rsid w:val="00D5021A"/>
    <w:rsid w:val="00D66762"/>
    <w:rsid w:val="00DB056F"/>
    <w:rsid w:val="00DD1435"/>
    <w:rsid w:val="00DF4836"/>
    <w:rsid w:val="00E119BD"/>
    <w:rsid w:val="00E32C08"/>
    <w:rsid w:val="00E34E94"/>
    <w:rsid w:val="00E83BC4"/>
    <w:rsid w:val="00EB613C"/>
    <w:rsid w:val="00EB7846"/>
    <w:rsid w:val="00EF011F"/>
    <w:rsid w:val="00EF774F"/>
    <w:rsid w:val="00F109BC"/>
    <w:rsid w:val="00F10AC2"/>
    <w:rsid w:val="00F1562D"/>
    <w:rsid w:val="00F23171"/>
    <w:rsid w:val="00F40362"/>
    <w:rsid w:val="00F5516F"/>
    <w:rsid w:val="00F829A3"/>
    <w:rsid w:val="00F87D21"/>
    <w:rsid w:val="00F93175"/>
    <w:rsid w:val="00F938D3"/>
    <w:rsid w:val="00FB2971"/>
    <w:rsid w:val="00FB77D3"/>
    <w:rsid w:val="00FE7DDB"/>
    <w:rsid w:val="02524CA1"/>
    <w:rsid w:val="07012A48"/>
    <w:rsid w:val="08FF254F"/>
    <w:rsid w:val="11A9759B"/>
    <w:rsid w:val="12512A59"/>
    <w:rsid w:val="16A34890"/>
    <w:rsid w:val="1EA251D5"/>
    <w:rsid w:val="227429E7"/>
    <w:rsid w:val="23617D1F"/>
    <w:rsid w:val="27D8069B"/>
    <w:rsid w:val="3E1830C5"/>
    <w:rsid w:val="511821D2"/>
    <w:rsid w:val="51C729B8"/>
    <w:rsid w:val="57C64909"/>
    <w:rsid w:val="5AC10521"/>
    <w:rsid w:val="6DF97C7D"/>
    <w:rsid w:val="6F9B79F4"/>
    <w:rsid w:val="70BD70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0"/>
    <w:qFormat/>
    <w:uiPriority w:val="0"/>
    <w:pPr>
      <w:spacing w:beforeAutospacing="1" w:afterAutospacing="1"/>
      <w:jc w:val="left"/>
      <w:outlineLvl w:val="2"/>
    </w:pPr>
    <w:rPr>
      <w:rFonts w:ascii="Calibri" w:hAnsi="Calibri" w:eastAsia="宋体" w:cs="Times New Roman"/>
      <w:b/>
      <w:sz w:val="32"/>
      <w:szCs w:val="21"/>
      <w:lang w:val="zh-CN"/>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7"/>
    <w:semiHidden/>
    <w:unhideWhenUsed/>
    <w:qFormat/>
    <w:uiPriority w:val="99"/>
    <w:rPr>
      <w:rFonts w:ascii="宋体" w:eastAsia="宋体"/>
      <w:sz w:val="18"/>
      <w:szCs w:val="18"/>
    </w:rPr>
  </w:style>
  <w:style w:type="paragraph" w:styleId="4">
    <w:name w:val="annotation text"/>
    <w:basedOn w:val="1"/>
    <w:semiHidden/>
    <w:unhideWhenUsed/>
    <w:qFormat/>
    <w:uiPriority w:val="99"/>
    <w:pPr>
      <w:jc w:val="left"/>
    </w:p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tabs>
        <w:tab w:val="right" w:leader="dot" w:pos="8296"/>
      </w:tabs>
    </w:pPr>
    <w:rPr>
      <w:rFonts w:ascii="宋体" w:hAnsi="宋体" w:eastAsia="宋体" w:cs="Times New Roman"/>
      <w:b/>
      <w:sz w:val="32"/>
      <w:szCs w:val="32"/>
    </w:rPr>
  </w:style>
  <w:style w:type="paragraph" w:styleId="8">
    <w:name w:val="toc 2"/>
    <w:basedOn w:val="1"/>
    <w:next w:val="1"/>
    <w:unhideWhenUsed/>
    <w:qFormat/>
    <w:uiPriority w:val="39"/>
    <w:pPr>
      <w:ind w:left="420" w:leftChars="200"/>
    </w:p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rPr>
  </w:style>
  <w:style w:type="paragraph" w:styleId="13">
    <w:name w:val="List Paragraph"/>
    <w:basedOn w:val="1"/>
    <w:qFormat/>
    <w:uiPriority w:val="34"/>
    <w:pPr>
      <w:ind w:firstLine="420" w:firstLineChars="200"/>
    </w:pPr>
  </w:style>
  <w:style w:type="character" w:customStyle="1" w:styleId="14">
    <w:name w:val="页眉 Char"/>
    <w:basedOn w:val="11"/>
    <w:link w:val="6"/>
    <w:qFormat/>
    <w:uiPriority w:val="99"/>
    <w:rPr>
      <w:sz w:val="18"/>
      <w:szCs w:val="18"/>
    </w:rPr>
  </w:style>
  <w:style w:type="character" w:customStyle="1" w:styleId="15">
    <w:name w:val="页脚 Char"/>
    <w:basedOn w:val="11"/>
    <w:link w:val="5"/>
    <w:qFormat/>
    <w:uiPriority w:val="99"/>
    <w:rPr>
      <w:sz w:val="18"/>
      <w:szCs w:val="18"/>
    </w:rPr>
  </w:style>
  <w:style w:type="character" w:customStyle="1" w:styleId="16">
    <w:name w:val="apple-style-span"/>
    <w:qFormat/>
    <w:uiPriority w:val="0"/>
  </w:style>
  <w:style w:type="character" w:customStyle="1" w:styleId="17">
    <w:name w:val="文档结构图 Char"/>
    <w:basedOn w:val="11"/>
    <w:link w:val="3"/>
    <w:semiHidden/>
    <w:qFormat/>
    <w:uiPriority w:val="99"/>
    <w:rPr>
      <w:rFonts w:ascii="宋体" w:eastAsia="宋体"/>
      <w:sz w:val="18"/>
      <w:szCs w:val="18"/>
    </w:rPr>
  </w:style>
  <w:style w:type="character" w:customStyle="1" w:styleId="18">
    <w:name w:val="工信院正文 字符"/>
    <w:link w:val="19"/>
    <w:qFormat/>
    <w:locked/>
    <w:uiPriority w:val="99"/>
    <w:rPr>
      <w:rFonts w:ascii="Times New Roman" w:hAnsi="Times New Roman" w:eastAsia="仿宋_GB2312"/>
      <w:sz w:val="30"/>
    </w:rPr>
  </w:style>
  <w:style w:type="paragraph" w:customStyle="1" w:styleId="19">
    <w:name w:val="工信院正文"/>
    <w:basedOn w:val="1"/>
    <w:link w:val="18"/>
    <w:qFormat/>
    <w:uiPriority w:val="99"/>
    <w:pPr>
      <w:spacing w:line="480" w:lineRule="exact"/>
      <w:ind w:firstLine="200" w:firstLineChars="200"/>
    </w:pPr>
    <w:rPr>
      <w:rFonts w:ascii="Times New Roman" w:hAnsi="Times New Roman" w:eastAsia="仿宋_GB2312"/>
      <w:sz w:val="30"/>
    </w:rPr>
  </w:style>
  <w:style w:type="character" w:customStyle="1" w:styleId="20">
    <w:name w:val="标题 3 Char"/>
    <w:basedOn w:val="11"/>
    <w:link w:val="2"/>
    <w:qFormat/>
    <w:uiPriority w:val="0"/>
    <w:rPr>
      <w:rFonts w:ascii="Calibri" w:hAnsi="Calibri" w:eastAsia="宋体" w:cs="Times New Roman"/>
      <w:b/>
      <w:sz w:val="32"/>
      <w:szCs w:val="21"/>
      <w:lang w:val="zh-CN"/>
    </w:rPr>
  </w:style>
  <w:style w:type="paragraph" w:customStyle="1" w:styleId="21">
    <w:name w:val="正文首行缩进 21"/>
    <w:basedOn w:val="1"/>
    <w:qFormat/>
    <w:uiPriority w:val="0"/>
    <w:pPr>
      <w:widowControl/>
      <w:spacing w:before="100" w:beforeAutospacing="1" w:after="100" w:afterAutospacing="1"/>
      <w:ind w:left="420" w:leftChars="200" w:firstLine="420" w:firstLineChars="200"/>
      <w:jc w:val="left"/>
    </w:pPr>
    <w:rPr>
      <w:rFonts w:ascii="宋体" w:hAnsi="宋体" w:eastAsia="宋体"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C42A7A-D96B-41B7-AEBE-BBBA6876867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2132</Words>
  <Characters>12155</Characters>
  <Lines>101</Lines>
  <Paragraphs>28</Paragraphs>
  <TotalTime>0</TotalTime>
  <ScaleCrop>false</ScaleCrop>
  <LinksUpToDate>false</LinksUpToDate>
  <CharactersWithSpaces>14259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2020-06-19T11:58:00Z</dcterms:created>
  <dc:creator>lenovo</dc:creator>
  <cp:lastModifiedBy>Zoe♪( ´▽｀)</cp:lastModifiedBy>
  <cp:lastPrinted>2020-09-23T02:27:00Z</cp:lastPrinted>
  <dcterms:modified xsi:type="dcterms:W3CDTF">2021-03-15T08:55:10Z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