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BF" w:rsidRDefault="008112AC" w:rsidP="008112AC">
      <w:pPr>
        <w:widowControl/>
        <w:shd w:val="clear" w:color="auto" w:fill="FFFFFF"/>
        <w:spacing w:line="630" w:lineRule="atLeast"/>
        <w:jc w:val="center"/>
        <w:rPr>
          <w:rFonts w:ascii="方正小标宋简体" w:eastAsia="方正小标宋简体"/>
          <w:b/>
          <w:sz w:val="36"/>
          <w:szCs w:val="36"/>
        </w:rPr>
      </w:pPr>
      <w:r w:rsidRPr="008112AC">
        <w:rPr>
          <w:rFonts w:ascii="方正小标宋简体" w:eastAsia="方正小标宋简体" w:hint="eastAsia"/>
          <w:b/>
          <w:sz w:val="36"/>
          <w:szCs w:val="36"/>
        </w:rPr>
        <w:t>台州市椒江区人民政府</w:t>
      </w:r>
    </w:p>
    <w:p w:rsidR="008112AC" w:rsidRPr="008112AC" w:rsidRDefault="008112AC" w:rsidP="008112AC">
      <w:pPr>
        <w:widowControl/>
        <w:shd w:val="clear" w:color="auto" w:fill="FFFFFF"/>
        <w:spacing w:line="630" w:lineRule="atLeast"/>
        <w:jc w:val="center"/>
        <w:rPr>
          <w:rFonts w:ascii="方正小标宋简体" w:eastAsia="方正小标宋简体"/>
          <w:b/>
          <w:sz w:val="36"/>
          <w:szCs w:val="36"/>
        </w:rPr>
      </w:pPr>
      <w:r w:rsidRPr="008112AC">
        <w:rPr>
          <w:rFonts w:ascii="方正小标宋简体" w:eastAsia="方正小标宋简体" w:hint="eastAsia"/>
          <w:b/>
          <w:sz w:val="36"/>
          <w:szCs w:val="36"/>
        </w:rPr>
        <w:t>202</w:t>
      </w:r>
      <w:r w:rsidR="00E308F8">
        <w:rPr>
          <w:rFonts w:ascii="方正小标宋简体" w:eastAsia="方正小标宋简体" w:hint="eastAsia"/>
          <w:b/>
          <w:sz w:val="36"/>
          <w:szCs w:val="36"/>
        </w:rPr>
        <w:t>1</w:t>
      </w:r>
      <w:r w:rsidRPr="008112AC">
        <w:rPr>
          <w:rFonts w:ascii="方正小标宋简体" w:eastAsia="方正小标宋简体" w:hint="eastAsia"/>
          <w:b/>
          <w:sz w:val="36"/>
          <w:szCs w:val="36"/>
        </w:rPr>
        <w:t xml:space="preserve">年政府信息公开工作报告 </w:t>
      </w:r>
    </w:p>
    <w:p w:rsidR="008112AC" w:rsidRDefault="008112AC" w:rsidP="008112A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E308F8" w:rsidRPr="00E308F8" w:rsidRDefault="00E308F8" w:rsidP="00E308F8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308F8">
        <w:rPr>
          <w:rFonts w:ascii="仿宋_GB2312" w:eastAsia="仿宋_GB2312" w:hint="eastAsia"/>
          <w:sz w:val="32"/>
          <w:szCs w:val="32"/>
        </w:rPr>
        <w:t>本报告依据《中华人民共和国政府信息公开条例》（国务院令第492号公布，国务院令第711号修订，以下简称《条例》）和国务院办公厅政府信息与政务公开办公室关于印发《中华人民共和国政府信息公开工作年度报告格式》的通知（国办公开办函〔2021〕30号）要求编制。报告主要包括：总体情况、主动公开政府信息情况、收到和处理政府信息公开申请情况、因政府信息公开被申请行政复议和提起行政诉讼情况、政府信息公开工作存在的主要问题及改进情况、其他需要报告的事项。本报告中使用数据统计期限为2021年1月1日至12月31日。报告的电子版可在椒江区政府网站</w:t>
      </w:r>
      <w:proofErr w:type="gramStart"/>
      <w:r w:rsidRPr="00E308F8">
        <w:rPr>
          <w:rFonts w:ascii="仿宋_GB2312" w:eastAsia="仿宋_GB2312" w:hint="eastAsia"/>
          <w:sz w:val="32"/>
          <w:szCs w:val="32"/>
        </w:rPr>
        <w:t>“</w:t>
      </w:r>
      <w:proofErr w:type="gramEnd"/>
      <w:r w:rsidRPr="00E308F8">
        <w:rPr>
          <w:rFonts w:ascii="仿宋_GB2312" w:eastAsia="仿宋_GB2312" w:hint="eastAsia"/>
          <w:sz w:val="32"/>
          <w:szCs w:val="32"/>
        </w:rPr>
        <w:t>政务公开"栏目下“政府信息公开年报”专栏下载，对本报告有任何疑问，请与台州市椒江区人民政府办公室联系（地址：台州市椒江区青年路404号区行政大楼916室，电话：0576-88830316，邮编：318000）。</w:t>
      </w:r>
    </w:p>
    <w:p w:rsidR="001D4DDE" w:rsidRPr="001D4DDE" w:rsidRDefault="001D4DDE" w:rsidP="001D4DDE">
      <w:pPr>
        <w:jc w:val="left"/>
        <w:rPr>
          <w:rFonts w:ascii="仿宋_GB2312" w:eastAsia="仿宋_GB2312"/>
          <w:b/>
          <w:sz w:val="32"/>
          <w:szCs w:val="32"/>
        </w:rPr>
      </w:pPr>
      <w:r w:rsidRPr="001D4DDE">
        <w:rPr>
          <w:rFonts w:ascii="仿宋_GB2312" w:eastAsia="仿宋_GB2312" w:hint="eastAsia"/>
          <w:b/>
          <w:sz w:val="32"/>
          <w:szCs w:val="32"/>
        </w:rPr>
        <w:t xml:space="preserve">　　一、总体情况</w:t>
      </w:r>
    </w:p>
    <w:p w:rsidR="001D4DDE" w:rsidRPr="001D4DDE" w:rsidRDefault="00A96CB3" w:rsidP="00A96CB3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96CB3">
        <w:rPr>
          <w:rFonts w:ascii="仿宋_GB2312" w:eastAsia="仿宋_GB2312"/>
          <w:sz w:val="32"/>
          <w:szCs w:val="32"/>
        </w:rPr>
        <w:t>2021年，</w:t>
      </w:r>
      <w:r>
        <w:rPr>
          <w:rFonts w:ascii="仿宋_GB2312" w:eastAsia="仿宋_GB2312" w:hint="eastAsia"/>
          <w:sz w:val="32"/>
          <w:szCs w:val="32"/>
        </w:rPr>
        <w:t>台州市椒江区</w:t>
      </w:r>
      <w:r w:rsidRPr="00A96CB3">
        <w:rPr>
          <w:rFonts w:ascii="仿宋_GB2312" w:eastAsia="仿宋_GB2312"/>
          <w:sz w:val="32"/>
          <w:szCs w:val="32"/>
        </w:rPr>
        <w:t>人民政府坚持以习近平新时代中国特色社会主义思想为指导，全面贯彻落实党的十九大和十九届历次全会精神，围绕党中央国务院和市委市政府决策部署，强化《条例》落实，着力提升</w:t>
      </w:r>
      <w:r>
        <w:rPr>
          <w:rFonts w:ascii="仿宋_GB2312" w:eastAsia="仿宋_GB2312" w:hint="eastAsia"/>
          <w:sz w:val="32"/>
          <w:szCs w:val="32"/>
        </w:rPr>
        <w:t>政务</w:t>
      </w:r>
      <w:r w:rsidRPr="00A96CB3">
        <w:rPr>
          <w:rFonts w:ascii="仿宋_GB2312" w:eastAsia="仿宋_GB2312"/>
          <w:sz w:val="32"/>
          <w:szCs w:val="32"/>
        </w:rPr>
        <w:t>信息公开质量，进一</w:t>
      </w:r>
      <w:r w:rsidRPr="00A96CB3">
        <w:rPr>
          <w:rFonts w:ascii="仿宋_GB2312" w:eastAsia="仿宋_GB2312"/>
          <w:sz w:val="32"/>
          <w:szCs w:val="32"/>
        </w:rPr>
        <w:lastRenderedPageBreak/>
        <w:t>步提高政府治理能力。</w:t>
      </w:r>
    </w:p>
    <w:p w:rsidR="001D4DDE" w:rsidRPr="001D4DDE" w:rsidRDefault="001D4DDE" w:rsidP="008112A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D4DDE">
        <w:rPr>
          <w:rFonts w:ascii="仿宋_GB2312" w:eastAsia="仿宋_GB2312" w:hint="eastAsia"/>
          <w:sz w:val="32"/>
          <w:szCs w:val="32"/>
        </w:rPr>
        <w:t>(</w:t>
      </w:r>
      <w:proofErr w:type="gramStart"/>
      <w:r w:rsidRPr="001D4DDE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1D4DDE">
        <w:rPr>
          <w:rFonts w:ascii="仿宋_GB2312" w:eastAsia="仿宋_GB2312" w:hint="eastAsia"/>
          <w:sz w:val="32"/>
          <w:szCs w:val="32"/>
        </w:rPr>
        <w:t>)主动公开</w:t>
      </w:r>
      <w:r w:rsidR="00A96CB3">
        <w:rPr>
          <w:rFonts w:ascii="仿宋_GB2312" w:eastAsia="仿宋_GB2312" w:hint="eastAsia"/>
          <w:sz w:val="32"/>
          <w:szCs w:val="32"/>
        </w:rPr>
        <w:t>方面</w:t>
      </w:r>
    </w:p>
    <w:p w:rsidR="00E37BED" w:rsidRPr="00E37BED" w:rsidRDefault="00E37BED" w:rsidP="00E37BE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E37BED">
        <w:rPr>
          <w:rFonts w:ascii="仿宋_GB2312" w:eastAsia="仿宋_GB2312" w:hint="eastAsia"/>
          <w:sz w:val="32"/>
          <w:szCs w:val="32"/>
        </w:rPr>
        <w:t>全面提升主动公开深度和广度。2021年，我</w:t>
      </w:r>
      <w:r>
        <w:rPr>
          <w:rFonts w:ascii="仿宋_GB2312" w:eastAsia="仿宋_GB2312" w:hint="eastAsia"/>
          <w:sz w:val="32"/>
          <w:szCs w:val="32"/>
        </w:rPr>
        <w:t>区</w:t>
      </w:r>
      <w:r w:rsidRPr="00E37BED">
        <w:rPr>
          <w:rFonts w:ascii="仿宋_GB2312" w:eastAsia="仿宋_GB2312" w:hint="eastAsia"/>
          <w:sz w:val="32"/>
          <w:szCs w:val="32"/>
        </w:rPr>
        <w:t>主动公开</w:t>
      </w:r>
      <w:r w:rsidR="007B3DF2">
        <w:rPr>
          <w:rFonts w:ascii="仿宋_GB2312" w:eastAsia="仿宋_GB2312" w:hint="eastAsia"/>
          <w:sz w:val="32"/>
          <w:szCs w:val="32"/>
        </w:rPr>
        <w:t>政务</w:t>
      </w:r>
      <w:r w:rsidRPr="00E37BED">
        <w:rPr>
          <w:rFonts w:ascii="仿宋_GB2312" w:eastAsia="仿宋_GB2312" w:hint="eastAsia"/>
          <w:sz w:val="32"/>
          <w:szCs w:val="32"/>
        </w:rPr>
        <w:t>信息</w:t>
      </w:r>
      <w:r w:rsidR="007B3DF2">
        <w:rPr>
          <w:rFonts w:ascii="仿宋_GB2312" w:eastAsia="仿宋_GB2312" w:hint="eastAsia"/>
          <w:sz w:val="32"/>
          <w:szCs w:val="32"/>
        </w:rPr>
        <w:t>18388</w:t>
      </w:r>
      <w:r w:rsidRPr="00E37BED">
        <w:rPr>
          <w:rFonts w:ascii="仿宋_GB2312" w:eastAsia="仿宋_GB2312" w:hint="eastAsia"/>
          <w:sz w:val="32"/>
          <w:szCs w:val="32"/>
        </w:rPr>
        <w:t>条，其中各单位在门户网站上公布信息7054条，内容涉及机构信息、规范性文件、政府决策、重点工作、行政执法、财政信息等。</w:t>
      </w:r>
      <w:r w:rsidR="007877C7">
        <w:rPr>
          <w:rFonts w:ascii="仿宋_GB2312" w:eastAsia="仿宋_GB2312" w:hint="eastAsia"/>
          <w:sz w:val="32"/>
          <w:szCs w:val="32"/>
        </w:rPr>
        <w:t>椒江</w:t>
      </w:r>
      <w:r w:rsidR="00F05708">
        <w:rPr>
          <w:rFonts w:ascii="仿宋_GB2312" w:eastAsia="仿宋_GB2312" w:hint="eastAsia"/>
          <w:sz w:val="32"/>
          <w:szCs w:val="32"/>
        </w:rPr>
        <w:t>动态信息2453条，</w:t>
      </w:r>
      <w:r w:rsidRPr="00E37BED">
        <w:rPr>
          <w:rFonts w:ascii="仿宋_GB2312" w:eastAsia="仿宋_GB2312" w:hint="eastAsia"/>
          <w:sz w:val="32"/>
          <w:szCs w:val="32"/>
        </w:rPr>
        <w:t>通过政务新媒体公开政府信息</w:t>
      </w:r>
      <w:r w:rsidR="007B3DF2" w:rsidRPr="007B3DF2">
        <w:rPr>
          <w:rFonts w:ascii="仿宋_GB2312" w:eastAsia="仿宋_GB2312" w:hint="eastAsia"/>
          <w:sz w:val="32"/>
          <w:szCs w:val="32"/>
        </w:rPr>
        <w:t>3658</w:t>
      </w:r>
      <w:r w:rsidRPr="00E37BED">
        <w:rPr>
          <w:rFonts w:ascii="仿宋_GB2312" w:eastAsia="仿宋_GB2312" w:hint="eastAsia"/>
          <w:sz w:val="32"/>
          <w:szCs w:val="32"/>
        </w:rPr>
        <w:t>条，通过其他方式公开政府信息</w:t>
      </w:r>
      <w:r w:rsidR="00F05708" w:rsidRPr="00F05708">
        <w:rPr>
          <w:rFonts w:ascii="仿宋_GB2312" w:eastAsia="仿宋_GB2312" w:hint="eastAsia"/>
          <w:sz w:val="32"/>
          <w:szCs w:val="32"/>
        </w:rPr>
        <w:t>5223</w:t>
      </w:r>
      <w:r w:rsidRPr="00E37BED">
        <w:rPr>
          <w:rFonts w:ascii="仿宋_GB2312" w:eastAsia="仿宋_GB2312" w:hint="eastAsia"/>
          <w:sz w:val="32"/>
          <w:szCs w:val="32"/>
        </w:rPr>
        <w:t>条。</w:t>
      </w:r>
    </w:p>
    <w:p w:rsidR="001D4DDE" w:rsidRPr="001D4DDE" w:rsidRDefault="001D4DDE" w:rsidP="00E37BE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D4DDE">
        <w:rPr>
          <w:rFonts w:ascii="仿宋_GB2312" w:eastAsia="仿宋_GB2312" w:hint="eastAsia"/>
          <w:sz w:val="32"/>
          <w:szCs w:val="32"/>
        </w:rPr>
        <w:t>（二）依申请公开</w:t>
      </w:r>
      <w:r w:rsidR="00A96CB3">
        <w:rPr>
          <w:rFonts w:ascii="仿宋_GB2312" w:eastAsia="仿宋_GB2312" w:hint="eastAsia"/>
          <w:sz w:val="32"/>
          <w:szCs w:val="32"/>
        </w:rPr>
        <w:t>方面</w:t>
      </w:r>
    </w:p>
    <w:p w:rsidR="001D4DDE" w:rsidRPr="001D4DDE" w:rsidRDefault="0023712C" w:rsidP="0023712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23712C">
        <w:rPr>
          <w:rFonts w:ascii="仿宋_GB2312" w:eastAsia="仿宋_GB2312"/>
          <w:sz w:val="32"/>
          <w:szCs w:val="32"/>
        </w:rPr>
        <w:t>2021年</w:t>
      </w:r>
      <w:r>
        <w:rPr>
          <w:rFonts w:ascii="仿宋_GB2312" w:eastAsia="仿宋_GB2312" w:hint="eastAsia"/>
          <w:sz w:val="32"/>
          <w:szCs w:val="32"/>
        </w:rPr>
        <w:t>全区</w:t>
      </w:r>
      <w:r w:rsidRPr="0023712C">
        <w:rPr>
          <w:rFonts w:ascii="仿宋_GB2312" w:eastAsia="仿宋_GB2312"/>
          <w:sz w:val="32"/>
          <w:szCs w:val="32"/>
        </w:rPr>
        <w:t>共受理政府信息公开申请件</w:t>
      </w:r>
      <w:r w:rsidR="00AF4893" w:rsidRPr="00AF4893">
        <w:rPr>
          <w:rFonts w:ascii="仿宋_GB2312" w:eastAsia="仿宋_GB2312" w:hint="eastAsia"/>
          <w:sz w:val="32"/>
          <w:szCs w:val="32"/>
        </w:rPr>
        <w:t>284</w:t>
      </w:r>
      <w:r w:rsidRPr="0023712C">
        <w:rPr>
          <w:rFonts w:ascii="仿宋_GB2312" w:eastAsia="仿宋_GB2312"/>
          <w:sz w:val="32"/>
          <w:szCs w:val="32"/>
        </w:rPr>
        <w:t>件，受理的申请件已按规定在法定期限内予以答复。因政府信息公开引起的行政复议和行政诉讼</w:t>
      </w:r>
      <w:r w:rsidR="00AF4893" w:rsidRPr="00AF4893">
        <w:rPr>
          <w:rFonts w:ascii="仿宋_GB2312" w:eastAsia="仿宋_GB2312" w:hint="eastAsia"/>
          <w:sz w:val="32"/>
          <w:szCs w:val="32"/>
        </w:rPr>
        <w:t>21</w:t>
      </w:r>
      <w:r w:rsidRPr="0023712C">
        <w:rPr>
          <w:rFonts w:ascii="仿宋_GB2312" w:eastAsia="仿宋_GB2312"/>
          <w:sz w:val="32"/>
          <w:szCs w:val="32"/>
        </w:rPr>
        <w:t>件，复议诉讼率</w:t>
      </w:r>
      <w:r w:rsidR="00B402DD">
        <w:rPr>
          <w:rFonts w:ascii="仿宋_GB2312" w:eastAsia="仿宋_GB2312" w:hint="eastAsia"/>
          <w:sz w:val="32"/>
          <w:szCs w:val="32"/>
        </w:rPr>
        <w:t>7.4</w:t>
      </w:r>
      <w:r w:rsidRPr="0023712C">
        <w:rPr>
          <w:rFonts w:ascii="仿宋_GB2312" w:eastAsia="仿宋_GB2312"/>
          <w:sz w:val="32"/>
          <w:szCs w:val="32"/>
        </w:rPr>
        <w:t>%；没有因我</w:t>
      </w:r>
      <w:r>
        <w:rPr>
          <w:rFonts w:ascii="仿宋_GB2312" w:eastAsia="仿宋_GB2312" w:hint="eastAsia"/>
          <w:sz w:val="32"/>
          <w:szCs w:val="32"/>
        </w:rPr>
        <w:t>区</w:t>
      </w:r>
      <w:r w:rsidRPr="0023712C">
        <w:rPr>
          <w:rFonts w:ascii="仿宋_GB2312" w:eastAsia="仿宋_GB2312"/>
          <w:sz w:val="32"/>
          <w:szCs w:val="32"/>
        </w:rPr>
        <w:t>自身原因引起的败诉或被纠错情况。</w:t>
      </w:r>
    </w:p>
    <w:p w:rsidR="001D4DDE" w:rsidRPr="001D4DDE" w:rsidRDefault="001D4DDE" w:rsidP="008112A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D4DDE">
        <w:rPr>
          <w:rFonts w:ascii="仿宋_GB2312" w:eastAsia="仿宋_GB2312" w:hint="eastAsia"/>
          <w:sz w:val="32"/>
          <w:szCs w:val="32"/>
        </w:rPr>
        <w:t>（三）政府信息管理</w:t>
      </w:r>
      <w:r w:rsidR="00A96CB3">
        <w:rPr>
          <w:rFonts w:ascii="仿宋_GB2312" w:eastAsia="仿宋_GB2312" w:hint="eastAsia"/>
          <w:sz w:val="32"/>
          <w:szCs w:val="32"/>
        </w:rPr>
        <w:t>方面</w:t>
      </w:r>
    </w:p>
    <w:p w:rsidR="0078594E" w:rsidRDefault="0078594E" w:rsidP="0078594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8594E">
        <w:rPr>
          <w:rFonts w:ascii="仿宋_GB2312" w:eastAsia="仿宋_GB2312"/>
          <w:sz w:val="32"/>
          <w:szCs w:val="32"/>
        </w:rPr>
        <w:t>优化政府信息分类整合，定期开展检测并及时整改，增强信息发布的时效性、规范性、准确性。稳步推进政府信息公开的深度、广度，切实保障公民、法人和其他组织的知情权。完善规范性文件数据库建设，调整栏目类型，增设必填字段，实现精细统计、智能分析、检索比对等功能。</w:t>
      </w:r>
    </w:p>
    <w:p w:rsidR="001D4DDE" w:rsidRPr="001D4DDE" w:rsidRDefault="001D4DDE" w:rsidP="001D4DDE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D4DDE">
        <w:rPr>
          <w:rFonts w:ascii="仿宋_GB2312" w:eastAsia="仿宋_GB2312" w:hint="eastAsia"/>
          <w:sz w:val="32"/>
          <w:szCs w:val="32"/>
        </w:rPr>
        <w:t>（四）平台建设</w:t>
      </w:r>
      <w:r w:rsidR="00A96CB3">
        <w:rPr>
          <w:rFonts w:ascii="仿宋_GB2312" w:eastAsia="仿宋_GB2312" w:hint="eastAsia"/>
          <w:sz w:val="32"/>
          <w:szCs w:val="32"/>
        </w:rPr>
        <w:t>方面</w:t>
      </w:r>
    </w:p>
    <w:p w:rsidR="009C495D" w:rsidRPr="009C495D" w:rsidRDefault="009C495D" w:rsidP="009C495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C495D">
        <w:rPr>
          <w:rFonts w:ascii="仿宋_GB2312" w:eastAsia="仿宋_GB2312"/>
          <w:sz w:val="32"/>
          <w:szCs w:val="32"/>
        </w:rPr>
        <w:t>持续完善政府门户网站集约化建设，对政府信息进行汇聚、整合、共享、共用，增强政府信息在线检索功能和政府</w:t>
      </w:r>
      <w:r w:rsidRPr="009C495D">
        <w:rPr>
          <w:rFonts w:ascii="仿宋_GB2312" w:eastAsia="仿宋_GB2312"/>
          <w:sz w:val="32"/>
          <w:szCs w:val="32"/>
        </w:rPr>
        <w:lastRenderedPageBreak/>
        <w:t>网站智能化服务水平。</w:t>
      </w:r>
      <w:r w:rsidRPr="009C495D">
        <w:rPr>
          <w:rFonts w:ascii="仿宋_GB2312" w:eastAsia="仿宋_GB2312" w:hint="eastAsia"/>
          <w:sz w:val="32"/>
          <w:szCs w:val="32"/>
        </w:rPr>
        <w:t>积极推</w:t>
      </w:r>
      <w:r w:rsidR="00E37BED">
        <w:rPr>
          <w:rFonts w:ascii="仿宋_GB2312" w:eastAsia="仿宋_GB2312" w:hint="eastAsia"/>
          <w:sz w:val="32"/>
          <w:szCs w:val="32"/>
        </w:rPr>
        <w:t>动</w:t>
      </w:r>
      <w:r w:rsidR="00E37BED" w:rsidRPr="009C495D">
        <w:rPr>
          <w:rFonts w:ascii="仿宋_GB2312" w:eastAsia="仿宋_GB2312"/>
          <w:sz w:val="32"/>
          <w:szCs w:val="32"/>
        </w:rPr>
        <w:t>构建整体联动、协同发声的全</w:t>
      </w:r>
      <w:r w:rsidR="00E37BED">
        <w:rPr>
          <w:rFonts w:ascii="仿宋_GB2312" w:eastAsia="仿宋_GB2312" w:hint="eastAsia"/>
          <w:sz w:val="32"/>
          <w:szCs w:val="32"/>
        </w:rPr>
        <w:t>区</w:t>
      </w:r>
      <w:r w:rsidRPr="009C495D">
        <w:rPr>
          <w:rFonts w:ascii="仿宋_GB2312" w:eastAsia="仿宋_GB2312" w:hint="eastAsia"/>
          <w:sz w:val="32"/>
          <w:szCs w:val="32"/>
        </w:rPr>
        <w:t>政务新媒体矩阵有序发展，开设政务新媒体</w:t>
      </w:r>
      <w:r w:rsidR="00E37BED">
        <w:rPr>
          <w:rFonts w:ascii="仿宋_GB2312" w:eastAsia="仿宋_GB2312" w:hint="eastAsia"/>
          <w:sz w:val="32"/>
          <w:szCs w:val="32"/>
        </w:rPr>
        <w:t>40</w:t>
      </w:r>
      <w:r w:rsidRPr="009C495D">
        <w:rPr>
          <w:rFonts w:ascii="仿宋_GB2312" w:eastAsia="仿宋_GB2312" w:hint="eastAsia"/>
          <w:sz w:val="32"/>
          <w:szCs w:val="32"/>
        </w:rPr>
        <w:t>个，</w:t>
      </w:r>
      <w:proofErr w:type="gramStart"/>
      <w:r w:rsidRPr="009C495D">
        <w:rPr>
          <w:rFonts w:ascii="仿宋_GB2312" w:eastAsia="仿宋_GB2312" w:hint="eastAsia"/>
          <w:sz w:val="32"/>
          <w:szCs w:val="32"/>
        </w:rPr>
        <w:t>其中微信</w:t>
      </w:r>
      <w:proofErr w:type="gramEnd"/>
      <w:r w:rsidR="00E37BED">
        <w:rPr>
          <w:rFonts w:ascii="仿宋_GB2312" w:eastAsia="仿宋_GB2312" w:hint="eastAsia"/>
          <w:sz w:val="32"/>
          <w:szCs w:val="32"/>
        </w:rPr>
        <w:t>30</w:t>
      </w:r>
      <w:r w:rsidRPr="009C495D">
        <w:rPr>
          <w:rFonts w:ascii="仿宋_GB2312" w:eastAsia="仿宋_GB2312" w:hint="eastAsia"/>
          <w:sz w:val="32"/>
          <w:szCs w:val="32"/>
        </w:rPr>
        <w:t>个，抖音短视频</w:t>
      </w:r>
      <w:r w:rsidR="00E37BED">
        <w:rPr>
          <w:rFonts w:ascii="仿宋_GB2312" w:eastAsia="仿宋_GB2312" w:hint="eastAsia"/>
          <w:sz w:val="32"/>
          <w:szCs w:val="32"/>
        </w:rPr>
        <w:t>4</w:t>
      </w:r>
      <w:r w:rsidRPr="009C495D">
        <w:rPr>
          <w:rFonts w:ascii="仿宋_GB2312" w:eastAsia="仿宋_GB2312" w:hint="eastAsia"/>
          <w:sz w:val="32"/>
          <w:szCs w:val="32"/>
        </w:rPr>
        <w:t>个，</w:t>
      </w:r>
      <w:r w:rsidR="00E37BED">
        <w:rPr>
          <w:rFonts w:ascii="仿宋_GB2312" w:eastAsia="仿宋_GB2312" w:hint="eastAsia"/>
          <w:sz w:val="32"/>
          <w:szCs w:val="32"/>
        </w:rPr>
        <w:t>新</w:t>
      </w:r>
      <w:proofErr w:type="gramStart"/>
      <w:r w:rsidR="00E37BED">
        <w:rPr>
          <w:rFonts w:ascii="仿宋_GB2312" w:eastAsia="仿宋_GB2312" w:hint="eastAsia"/>
          <w:sz w:val="32"/>
          <w:szCs w:val="32"/>
        </w:rPr>
        <w:t>浪</w:t>
      </w:r>
      <w:r w:rsidRPr="009C495D">
        <w:rPr>
          <w:rFonts w:ascii="仿宋_GB2312" w:eastAsia="仿宋_GB2312" w:hint="eastAsia"/>
          <w:sz w:val="32"/>
          <w:szCs w:val="32"/>
        </w:rPr>
        <w:t>微博</w:t>
      </w:r>
      <w:proofErr w:type="gramEnd"/>
      <w:r w:rsidR="00E37BED">
        <w:rPr>
          <w:rFonts w:ascii="仿宋_GB2312" w:eastAsia="仿宋_GB2312" w:hint="eastAsia"/>
          <w:sz w:val="32"/>
          <w:szCs w:val="32"/>
        </w:rPr>
        <w:t>3</w:t>
      </w:r>
      <w:r w:rsidRPr="009C495D">
        <w:rPr>
          <w:rFonts w:ascii="仿宋_GB2312" w:eastAsia="仿宋_GB2312" w:hint="eastAsia"/>
          <w:sz w:val="32"/>
          <w:szCs w:val="32"/>
        </w:rPr>
        <w:t>个，其他</w:t>
      </w:r>
      <w:r w:rsidR="00E37BED">
        <w:rPr>
          <w:rFonts w:ascii="仿宋_GB2312" w:eastAsia="仿宋_GB2312" w:hint="eastAsia"/>
          <w:sz w:val="32"/>
          <w:szCs w:val="32"/>
        </w:rPr>
        <w:t>3</w:t>
      </w:r>
      <w:r w:rsidRPr="009C495D">
        <w:rPr>
          <w:rFonts w:ascii="仿宋_GB2312" w:eastAsia="仿宋_GB2312" w:hint="eastAsia"/>
          <w:sz w:val="32"/>
          <w:szCs w:val="32"/>
        </w:rPr>
        <w:t>个。</w:t>
      </w:r>
      <w:r w:rsidR="00E37BED" w:rsidRPr="009C495D">
        <w:rPr>
          <w:rFonts w:ascii="仿宋_GB2312" w:eastAsia="仿宋_GB2312"/>
          <w:sz w:val="32"/>
          <w:szCs w:val="32"/>
        </w:rPr>
        <w:t>对政务新媒体开设、变更、关停、注销实施全过程管理。</w:t>
      </w:r>
    </w:p>
    <w:p w:rsidR="001D4DDE" w:rsidRPr="001D4DDE" w:rsidRDefault="001D4DDE" w:rsidP="009C495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D4DDE">
        <w:rPr>
          <w:rFonts w:ascii="仿宋_GB2312" w:eastAsia="仿宋_GB2312" w:hint="eastAsia"/>
          <w:sz w:val="32"/>
          <w:szCs w:val="32"/>
        </w:rPr>
        <w:t>（五）监督保障</w:t>
      </w:r>
      <w:r w:rsidR="00A96CB3">
        <w:rPr>
          <w:rFonts w:ascii="仿宋_GB2312" w:eastAsia="仿宋_GB2312" w:hint="eastAsia"/>
          <w:sz w:val="32"/>
          <w:szCs w:val="32"/>
        </w:rPr>
        <w:t>方面</w:t>
      </w:r>
    </w:p>
    <w:p w:rsidR="0023712C" w:rsidRPr="0023712C" w:rsidRDefault="001D4DDE" w:rsidP="0023712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D4DDE">
        <w:rPr>
          <w:rFonts w:ascii="仿宋_GB2312" w:eastAsia="仿宋_GB2312" w:hint="eastAsia"/>
          <w:sz w:val="32"/>
          <w:szCs w:val="32"/>
        </w:rPr>
        <w:t>不断完善政务公开领导体制及工作机制，区政府明确由常务副区长分管政务公开</w:t>
      </w:r>
      <w:r w:rsidR="0023712C">
        <w:rPr>
          <w:rFonts w:ascii="仿宋_GB2312" w:eastAsia="仿宋_GB2312" w:hint="eastAsia"/>
          <w:sz w:val="32"/>
          <w:szCs w:val="32"/>
        </w:rPr>
        <w:t>工作</w:t>
      </w:r>
      <w:r w:rsidRPr="001D4DDE">
        <w:rPr>
          <w:rFonts w:ascii="仿宋_GB2312" w:eastAsia="仿宋_GB2312" w:hint="eastAsia"/>
          <w:sz w:val="32"/>
          <w:szCs w:val="32"/>
        </w:rPr>
        <w:t>兼</w:t>
      </w:r>
      <w:r w:rsidR="0023712C">
        <w:rPr>
          <w:rFonts w:ascii="仿宋_GB2312" w:eastAsia="仿宋_GB2312" w:hint="eastAsia"/>
          <w:sz w:val="32"/>
          <w:szCs w:val="32"/>
        </w:rPr>
        <w:t>政务公开</w:t>
      </w:r>
      <w:r w:rsidRPr="001D4DDE">
        <w:rPr>
          <w:rFonts w:ascii="仿宋_GB2312" w:eastAsia="仿宋_GB2312" w:hint="eastAsia"/>
          <w:sz w:val="32"/>
          <w:szCs w:val="32"/>
        </w:rPr>
        <w:t>领导小组组长，定期听取政务公开工作情况汇报</w:t>
      </w:r>
      <w:r w:rsidR="009C495D">
        <w:rPr>
          <w:rFonts w:ascii="仿宋_GB2312" w:eastAsia="仿宋_GB2312" w:hint="eastAsia"/>
          <w:sz w:val="32"/>
          <w:szCs w:val="32"/>
        </w:rPr>
        <w:t>。</w:t>
      </w:r>
      <w:r w:rsidR="0023712C">
        <w:rPr>
          <w:rFonts w:ascii="仿宋_GB2312" w:eastAsia="仿宋_GB2312" w:hint="eastAsia"/>
          <w:sz w:val="32"/>
          <w:szCs w:val="32"/>
        </w:rPr>
        <w:t>对</w:t>
      </w:r>
      <w:r w:rsidR="0023712C" w:rsidRPr="0023712C">
        <w:rPr>
          <w:rFonts w:ascii="仿宋_GB2312" w:eastAsia="仿宋_GB2312" w:hint="eastAsia"/>
          <w:sz w:val="32"/>
          <w:szCs w:val="32"/>
        </w:rPr>
        <w:t>政务公开工作机构队伍信息</w:t>
      </w:r>
      <w:r w:rsidR="0023712C">
        <w:rPr>
          <w:rFonts w:ascii="仿宋_GB2312" w:eastAsia="仿宋_GB2312" w:hint="eastAsia"/>
          <w:sz w:val="32"/>
          <w:szCs w:val="32"/>
        </w:rPr>
        <w:t>进行</w:t>
      </w:r>
      <w:r w:rsidR="0023712C" w:rsidRPr="0023712C">
        <w:rPr>
          <w:rFonts w:ascii="仿宋_GB2312" w:eastAsia="仿宋_GB2312" w:hint="eastAsia"/>
          <w:sz w:val="32"/>
          <w:szCs w:val="32"/>
        </w:rPr>
        <w:t>备案，明确要求各行政机关办公室为政府信息公开工作主管部门。全区33个区政府部门、9个街道（镇），均按要求明确办公室为政府信息公开工作主管部门，并确定42名分管</w:t>
      </w:r>
      <w:r w:rsidR="0023712C">
        <w:rPr>
          <w:rFonts w:ascii="仿宋_GB2312" w:eastAsia="仿宋_GB2312" w:hint="eastAsia"/>
          <w:sz w:val="32"/>
          <w:szCs w:val="32"/>
        </w:rPr>
        <w:t>领导</w:t>
      </w:r>
      <w:r w:rsidR="0023712C" w:rsidRPr="0023712C">
        <w:rPr>
          <w:rFonts w:ascii="仿宋_GB2312" w:eastAsia="仿宋_GB2312" w:hint="eastAsia"/>
          <w:sz w:val="32"/>
          <w:szCs w:val="32"/>
        </w:rPr>
        <w:t>为本级政府信息公开工作第一责任人，进一步理顺领导机构。</w:t>
      </w:r>
      <w:r w:rsidR="0023712C" w:rsidRPr="0023712C">
        <w:rPr>
          <w:rFonts w:ascii="仿宋_GB2312" w:eastAsia="仿宋_GB2312"/>
          <w:sz w:val="32"/>
          <w:szCs w:val="32"/>
        </w:rPr>
        <w:t>完善工作考核、社会评议和责任追究等制度，严格落实</w:t>
      </w:r>
      <w:r w:rsidR="0023712C" w:rsidRPr="0023712C">
        <w:rPr>
          <w:rFonts w:ascii="仿宋_GB2312" w:eastAsia="仿宋_GB2312"/>
          <w:sz w:val="32"/>
          <w:szCs w:val="32"/>
        </w:rPr>
        <w:t>“</w:t>
      </w:r>
      <w:r w:rsidR="0023712C">
        <w:rPr>
          <w:rFonts w:ascii="仿宋_GB2312" w:eastAsia="仿宋_GB2312" w:hint="eastAsia"/>
          <w:sz w:val="32"/>
          <w:szCs w:val="32"/>
        </w:rPr>
        <w:t>周</w:t>
      </w:r>
      <w:r w:rsidR="0023712C" w:rsidRPr="0023712C">
        <w:rPr>
          <w:rFonts w:ascii="仿宋_GB2312" w:eastAsia="仿宋_GB2312"/>
          <w:sz w:val="32"/>
          <w:szCs w:val="32"/>
        </w:rPr>
        <w:t>巡查、月普查、季交叉查</w:t>
      </w:r>
      <w:r w:rsidR="0023712C" w:rsidRPr="0023712C">
        <w:rPr>
          <w:rFonts w:ascii="仿宋_GB2312" w:eastAsia="仿宋_GB2312"/>
          <w:sz w:val="32"/>
          <w:szCs w:val="32"/>
        </w:rPr>
        <w:t>”</w:t>
      </w:r>
      <w:r w:rsidR="0023712C" w:rsidRPr="0023712C">
        <w:rPr>
          <w:rFonts w:ascii="仿宋_GB2312" w:eastAsia="仿宋_GB2312"/>
          <w:sz w:val="32"/>
          <w:szCs w:val="32"/>
        </w:rPr>
        <w:t>监管模式，对存在问题的单位点对点下发提醒函，督促限期整改。开展信息公开社会评议问卷调查，广泛听取公民、法人和其他社会组织对政府信息公开工作的批评、意见和建议。2021年</w:t>
      </w:r>
      <w:r w:rsidR="0023712C">
        <w:rPr>
          <w:rFonts w:ascii="仿宋_GB2312" w:eastAsia="仿宋_GB2312" w:hint="eastAsia"/>
          <w:sz w:val="32"/>
          <w:szCs w:val="32"/>
        </w:rPr>
        <w:t>椒江区</w:t>
      </w:r>
      <w:r w:rsidR="0023712C" w:rsidRPr="0023712C">
        <w:rPr>
          <w:rFonts w:ascii="仿宋_GB2312" w:eastAsia="仿宋_GB2312"/>
          <w:sz w:val="32"/>
          <w:szCs w:val="32"/>
        </w:rPr>
        <w:t>未发生政府信息公开工作责任追究情况。强化经费保障，定期组织开展业务培训和研讨交流，打造专业化的政务公开队伍。</w:t>
      </w:r>
    </w:p>
    <w:p w:rsidR="005C1306" w:rsidRDefault="005C1306" w:rsidP="008112AC">
      <w:pPr>
        <w:pStyle w:val="a5"/>
        <w:shd w:val="clear" w:color="auto" w:fill="FFFFFF"/>
        <w:spacing w:line="390" w:lineRule="atLeast"/>
        <w:ind w:firstLineChars="150" w:firstLine="482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</w:p>
    <w:p w:rsidR="005C1306" w:rsidRDefault="005C1306" w:rsidP="008112AC">
      <w:pPr>
        <w:pStyle w:val="a5"/>
        <w:shd w:val="clear" w:color="auto" w:fill="FFFFFF"/>
        <w:spacing w:line="390" w:lineRule="atLeast"/>
        <w:ind w:firstLineChars="150" w:firstLine="482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</w:p>
    <w:p w:rsidR="005C1306" w:rsidRDefault="005C1306" w:rsidP="008112AC">
      <w:pPr>
        <w:pStyle w:val="a5"/>
        <w:shd w:val="clear" w:color="auto" w:fill="FFFFFF"/>
        <w:spacing w:line="390" w:lineRule="atLeast"/>
        <w:ind w:firstLineChars="150" w:firstLine="482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</w:p>
    <w:p w:rsidR="008112AC" w:rsidRDefault="008112AC" w:rsidP="008112AC">
      <w:pPr>
        <w:pStyle w:val="a5"/>
        <w:shd w:val="clear" w:color="auto" w:fill="FFFFFF"/>
        <w:spacing w:line="390" w:lineRule="atLeast"/>
        <w:ind w:firstLineChars="150" w:firstLine="482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  <w:r w:rsidRPr="008112AC">
        <w:rPr>
          <w:rFonts w:ascii="仿宋_GB2312" w:eastAsia="仿宋_GB2312" w:hAnsiTheme="minorHAnsi" w:cstheme="minorBidi" w:hint="eastAsia"/>
          <w:b/>
          <w:kern w:val="2"/>
          <w:sz w:val="32"/>
          <w:szCs w:val="32"/>
        </w:rPr>
        <w:t>二、政府信息主动公开情况</w:t>
      </w:r>
    </w:p>
    <w:p w:rsidR="0098571C" w:rsidRDefault="005C1306" w:rsidP="005C1306">
      <w:pPr>
        <w:pStyle w:val="a5"/>
        <w:shd w:val="clear" w:color="auto" w:fill="FFFFFF"/>
        <w:spacing w:line="390" w:lineRule="atLeast"/>
        <w:ind w:firstLineChars="150" w:firstLine="482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  <w:r w:rsidRPr="005C1306">
        <w:rPr>
          <w:rFonts w:ascii="仿宋_GB2312" w:eastAsia="仿宋_GB2312" w:hAnsiTheme="minorHAnsi" w:cstheme="minorBidi"/>
          <w:b/>
          <w:noProof/>
          <w:kern w:val="2"/>
          <w:sz w:val="32"/>
          <w:szCs w:val="32"/>
        </w:rPr>
        <w:drawing>
          <wp:inline distT="0" distB="0" distL="0" distR="0">
            <wp:extent cx="5274310" cy="2942992"/>
            <wp:effectExtent l="19050" t="0" r="254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2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71C" w:rsidRDefault="0098571C" w:rsidP="008F3FBF">
      <w:pPr>
        <w:pStyle w:val="a5"/>
        <w:shd w:val="clear" w:color="auto" w:fill="FFFFFF"/>
        <w:spacing w:line="390" w:lineRule="atLeast"/>
        <w:ind w:firstLineChars="150" w:firstLine="482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</w:p>
    <w:p w:rsidR="0098571C" w:rsidRDefault="0098571C" w:rsidP="008F3FBF">
      <w:pPr>
        <w:pStyle w:val="a5"/>
        <w:shd w:val="clear" w:color="auto" w:fill="FFFFFF"/>
        <w:spacing w:line="390" w:lineRule="atLeast"/>
        <w:ind w:firstLineChars="150" w:firstLine="482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</w:p>
    <w:p w:rsidR="0098571C" w:rsidRDefault="0098571C" w:rsidP="008F3FBF">
      <w:pPr>
        <w:pStyle w:val="a5"/>
        <w:shd w:val="clear" w:color="auto" w:fill="FFFFFF"/>
        <w:spacing w:line="390" w:lineRule="atLeast"/>
        <w:ind w:firstLineChars="150" w:firstLine="482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</w:p>
    <w:p w:rsidR="0098571C" w:rsidRDefault="0098571C" w:rsidP="008F3FBF">
      <w:pPr>
        <w:pStyle w:val="a5"/>
        <w:shd w:val="clear" w:color="auto" w:fill="FFFFFF"/>
        <w:spacing w:line="390" w:lineRule="atLeast"/>
        <w:ind w:firstLineChars="150" w:firstLine="482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</w:p>
    <w:p w:rsidR="005C1306" w:rsidRDefault="005C1306" w:rsidP="008F3FBF">
      <w:pPr>
        <w:pStyle w:val="a5"/>
        <w:shd w:val="clear" w:color="auto" w:fill="FFFFFF"/>
        <w:spacing w:line="390" w:lineRule="atLeast"/>
        <w:ind w:firstLineChars="150" w:firstLine="482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</w:p>
    <w:p w:rsidR="005C1306" w:rsidRDefault="005C1306" w:rsidP="008F3FBF">
      <w:pPr>
        <w:pStyle w:val="a5"/>
        <w:shd w:val="clear" w:color="auto" w:fill="FFFFFF"/>
        <w:spacing w:line="390" w:lineRule="atLeast"/>
        <w:ind w:firstLineChars="150" w:firstLine="482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</w:p>
    <w:p w:rsidR="005C1306" w:rsidRDefault="005C1306" w:rsidP="008F3FBF">
      <w:pPr>
        <w:pStyle w:val="a5"/>
        <w:shd w:val="clear" w:color="auto" w:fill="FFFFFF"/>
        <w:spacing w:line="390" w:lineRule="atLeast"/>
        <w:ind w:firstLineChars="150" w:firstLine="482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</w:p>
    <w:p w:rsidR="005C1306" w:rsidRDefault="005C1306" w:rsidP="008F3FBF">
      <w:pPr>
        <w:pStyle w:val="a5"/>
        <w:shd w:val="clear" w:color="auto" w:fill="FFFFFF"/>
        <w:spacing w:line="390" w:lineRule="atLeast"/>
        <w:ind w:firstLineChars="150" w:firstLine="482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</w:p>
    <w:p w:rsidR="005C1306" w:rsidRDefault="005C1306" w:rsidP="008F3FBF">
      <w:pPr>
        <w:pStyle w:val="a5"/>
        <w:shd w:val="clear" w:color="auto" w:fill="FFFFFF"/>
        <w:spacing w:line="390" w:lineRule="atLeast"/>
        <w:ind w:firstLineChars="150" w:firstLine="482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</w:p>
    <w:p w:rsidR="008112AC" w:rsidRDefault="008112AC" w:rsidP="008F3FBF">
      <w:pPr>
        <w:pStyle w:val="a5"/>
        <w:shd w:val="clear" w:color="auto" w:fill="FFFFFF"/>
        <w:spacing w:line="390" w:lineRule="atLeast"/>
        <w:ind w:firstLineChars="150" w:firstLine="482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AnsiTheme="minorHAnsi" w:cstheme="minorBidi" w:hint="eastAsia"/>
          <w:b/>
          <w:kern w:val="2"/>
          <w:sz w:val="32"/>
          <w:szCs w:val="32"/>
        </w:rPr>
        <w:t>三</w:t>
      </w:r>
      <w:r w:rsidRPr="008112AC">
        <w:rPr>
          <w:rFonts w:ascii="仿宋_GB2312" w:eastAsia="仿宋_GB2312" w:hAnsiTheme="minorHAnsi" w:cstheme="minorBidi" w:hint="eastAsia"/>
          <w:b/>
          <w:kern w:val="2"/>
          <w:sz w:val="32"/>
          <w:szCs w:val="32"/>
        </w:rPr>
        <w:t>、行政机关收到和处理政府信息公开申请情况</w:t>
      </w:r>
    </w:p>
    <w:p w:rsidR="0098571C" w:rsidRDefault="0047389B" w:rsidP="0098571C">
      <w:pPr>
        <w:pStyle w:val="a5"/>
        <w:shd w:val="clear" w:color="auto" w:fill="FFFFFF"/>
        <w:spacing w:line="390" w:lineRule="atLeast"/>
        <w:rPr>
          <w:rFonts w:ascii="仿宋_GB2312" w:eastAsia="仿宋_GB2312"/>
          <w:sz w:val="32"/>
          <w:szCs w:val="32"/>
        </w:rPr>
      </w:pPr>
      <w:r w:rsidRPr="0047389B">
        <w:rPr>
          <w:rFonts w:ascii="仿宋_GB2312" w:eastAsia="仿宋_GB2312"/>
          <w:sz w:val="32"/>
          <w:szCs w:val="32"/>
        </w:rPr>
        <w:drawing>
          <wp:inline distT="0" distB="0" distL="0" distR="0">
            <wp:extent cx="5274310" cy="5266985"/>
            <wp:effectExtent l="19050" t="0" r="2540" b="0"/>
            <wp:docPr id="7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6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4893" w:rsidRDefault="00AF4893" w:rsidP="0098571C">
      <w:pPr>
        <w:pStyle w:val="a5"/>
        <w:shd w:val="clear" w:color="auto" w:fill="FFFFFF"/>
        <w:spacing w:line="390" w:lineRule="atLeast"/>
        <w:rPr>
          <w:rFonts w:ascii="仿宋_GB2312" w:eastAsia="仿宋_GB2312"/>
          <w:sz w:val="32"/>
          <w:szCs w:val="32"/>
        </w:rPr>
      </w:pPr>
    </w:p>
    <w:p w:rsidR="008112AC" w:rsidRDefault="008112AC" w:rsidP="008F3FBF">
      <w:pPr>
        <w:pStyle w:val="a5"/>
        <w:shd w:val="clear" w:color="auto" w:fill="FFFFFF"/>
        <w:spacing w:line="390" w:lineRule="atLeast"/>
        <w:ind w:firstLineChars="150" w:firstLine="482"/>
        <w:rPr>
          <w:rFonts w:ascii="仿宋_GB2312" w:eastAsia="仿宋_GB2312"/>
          <w:noProof/>
          <w:sz w:val="32"/>
          <w:szCs w:val="32"/>
        </w:rPr>
      </w:pPr>
      <w:r w:rsidRPr="008112AC">
        <w:rPr>
          <w:rFonts w:ascii="仿宋_GB2312" w:eastAsia="仿宋_GB2312" w:hAnsiTheme="minorHAnsi" w:cstheme="minorBidi" w:hint="eastAsia"/>
          <w:b/>
          <w:kern w:val="2"/>
          <w:sz w:val="32"/>
          <w:szCs w:val="32"/>
        </w:rPr>
        <w:t>四、因政府信息公开工作被申请行政复议、提起行政诉讼情况</w:t>
      </w:r>
    </w:p>
    <w:p w:rsidR="00051695" w:rsidRDefault="00B22EE9" w:rsidP="00051695">
      <w:pPr>
        <w:pStyle w:val="a5"/>
        <w:shd w:val="clear" w:color="auto" w:fill="FFFFFF"/>
        <w:spacing w:line="390" w:lineRule="atLeast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  <w:r w:rsidRPr="00B22EE9">
        <w:rPr>
          <w:rFonts w:ascii="仿宋_GB2312" w:eastAsia="仿宋_GB2312" w:hAnsiTheme="minorHAnsi" w:cstheme="minorBidi"/>
          <w:b/>
          <w:noProof/>
          <w:kern w:val="2"/>
          <w:sz w:val="32"/>
          <w:szCs w:val="32"/>
        </w:rPr>
        <w:lastRenderedPageBreak/>
        <w:drawing>
          <wp:inline distT="0" distB="0" distL="0" distR="0">
            <wp:extent cx="5274310" cy="944370"/>
            <wp:effectExtent l="19050" t="0" r="254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4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3FBF" w:rsidRDefault="008112AC" w:rsidP="008F3FBF">
      <w:pPr>
        <w:pStyle w:val="a5"/>
        <w:shd w:val="clear" w:color="auto" w:fill="FFFFFF"/>
        <w:spacing w:line="390" w:lineRule="atLeast"/>
        <w:ind w:firstLine="480"/>
        <w:rPr>
          <w:rFonts w:ascii="仿宋_GB2312" w:eastAsia="仿宋_GB2312" w:hAnsiTheme="minorHAnsi" w:cstheme="minorBidi"/>
          <w:b/>
          <w:kern w:val="2"/>
          <w:sz w:val="32"/>
          <w:szCs w:val="32"/>
        </w:rPr>
      </w:pPr>
      <w:r w:rsidRPr="008112AC">
        <w:rPr>
          <w:rFonts w:ascii="仿宋_GB2312" w:eastAsia="仿宋_GB2312" w:hAnsiTheme="minorHAnsi" w:cstheme="minorBidi" w:hint="eastAsia"/>
          <w:b/>
          <w:kern w:val="2"/>
          <w:sz w:val="32"/>
          <w:szCs w:val="32"/>
        </w:rPr>
        <w:t>五、政府信息公开工作存在的主要问题及改进情况</w:t>
      </w:r>
    </w:p>
    <w:p w:rsidR="00B22EE9" w:rsidRPr="00B22EE9" w:rsidRDefault="00B22EE9" w:rsidP="00B22EE9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B22EE9">
        <w:rPr>
          <w:rFonts w:ascii="仿宋_GB2312" w:eastAsia="仿宋_GB2312" w:hAnsiTheme="minorHAnsi" w:cstheme="minorBidi" w:hint="eastAsia"/>
          <w:kern w:val="2"/>
          <w:sz w:val="32"/>
          <w:szCs w:val="32"/>
        </w:rPr>
        <w:t>回顾2021年区府办的政务公开工作，对照省市要求和人民群众期望，还存在一些差距和问题。如：单位内部政务公开流程机制还需进一步完善、主动公开形式不够丰富、依申请公开答复水平欠高、政务公开数字化水平不强等。本机关根据上级部署，围绕区政府中心工作，不断深化政务公开广度和深度。主要做好以下几方面工作：</w:t>
      </w:r>
    </w:p>
    <w:p w:rsidR="00B22EE9" w:rsidRPr="00B22EE9" w:rsidRDefault="00B22EE9" w:rsidP="00B22EE9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B22EE9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（一）进一步夯实政务公开机制。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探索</w:t>
      </w:r>
      <w:r w:rsidRPr="00B22EE9">
        <w:rPr>
          <w:rFonts w:ascii="仿宋_GB2312" w:eastAsia="仿宋_GB2312" w:hAnsiTheme="minorHAnsi" w:cstheme="minorBidi" w:hint="eastAsia"/>
          <w:kern w:val="2"/>
          <w:sz w:val="32"/>
          <w:szCs w:val="32"/>
        </w:rPr>
        <w:t>建立以科室为单位的信息审核报送机制。完善我区政务公开考核的科学化</w:t>
      </w:r>
      <w:r>
        <w:rPr>
          <w:rFonts w:ascii="仿宋_GB2312" w:eastAsia="仿宋_GB2312" w:hAnsiTheme="minorHAnsi" w:cstheme="minorBidi" w:hint="eastAsia"/>
          <w:kern w:val="2"/>
          <w:sz w:val="32"/>
          <w:szCs w:val="32"/>
        </w:rPr>
        <w:t>和</w:t>
      </w:r>
      <w:r w:rsidRPr="00B22EE9">
        <w:rPr>
          <w:rFonts w:ascii="仿宋_GB2312" w:eastAsia="仿宋_GB2312" w:hAnsiTheme="minorHAnsi" w:cstheme="minorBidi" w:hint="eastAsia"/>
          <w:kern w:val="2"/>
          <w:sz w:val="32"/>
          <w:szCs w:val="32"/>
        </w:rPr>
        <w:t>常态化，建立健全我区政务公开第三方评估、工作通报、法律顾问等制度。加强政务公开业务培训，强化工作理念。</w:t>
      </w:r>
    </w:p>
    <w:p w:rsidR="00B22EE9" w:rsidRPr="00B22EE9" w:rsidRDefault="00B22EE9" w:rsidP="00B22EE9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B22EE9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（二）进一步深化政府信息重点工作，全面推进基层政务公开标准化规范化建设。进一步加大“卫生防疫、行政权力、财政资金、公共资源配置、重大项目建设”等方面信息的公开力度。指导部门、街道深化基层政务公开标准化建设。不断加大决策公开、会议公开、政策解读、回应关切公开力度，不断拓展政务公开渠道和方式。继续加强社会回应和政策解读工作，积极运用专家解读、图示图解、视频动画等多种形式开展便民解读，及时准确传递政策意图。</w:t>
      </w:r>
    </w:p>
    <w:p w:rsidR="00B22EE9" w:rsidRPr="00B22EE9" w:rsidRDefault="00B22EE9" w:rsidP="00B22EE9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B22EE9">
        <w:rPr>
          <w:rFonts w:ascii="仿宋_GB2312" w:eastAsia="仿宋_GB2312" w:hAnsiTheme="minorHAnsi" w:cstheme="minorBidi" w:hint="eastAsia"/>
          <w:kern w:val="2"/>
          <w:sz w:val="32"/>
          <w:szCs w:val="32"/>
        </w:rPr>
        <w:lastRenderedPageBreak/>
        <w:t>（三）进一步提升依申请公开件答复水平。全面使用依申请公开处理平台，结合好区依申请工作群，做到每件答复件有讨论和审查（法律顾问），做到及时登记分析，提升我区依申请件的答复水平。依托省政务公开处理系统，提升我区政府信息公开规范化答复水平。进一步发挥法律顾问作用，做好对部门、街道（镇）的业务指导。完善政府信息公开申请登记管理制度，建立健全与法院、司法等部门的疑难问题会商制度，不断规范和完善标准化答复文本。</w:t>
      </w:r>
    </w:p>
    <w:p w:rsidR="00B22EE9" w:rsidRPr="00B22EE9" w:rsidRDefault="00B22EE9" w:rsidP="00B22EE9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 w:hAnsiTheme="minorHAnsi" w:cstheme="minorBidi"/>
          <w:kern w:val="2"/>
          <w:sz w:val="32"/>
          <w:szCs w:val="32"/>
        </w:rPr>
      </w:pPr>
      <w:r w:rsidRPr="00B22EE9">
        <w:rPr>
          <w:rFonts w:ascii="仿宋_GB2312" w:eastAsia="仿宋_GB2312" w:hAnsiTheme="minorHAnsi" w:cstheme="minorBidi" w:hint="eastAsia"/>
          <w:kern w:val="2"/>
          <w:sz w:val="32"/>
          <w:szCs w:val="32"/>
        </w:rPr>
        <w:t>（四）进一步加强政务公开平台建设。继续发挥政府网站作为政务公开第一平台作用，不断提升我区政务公开平台。推进我区政务新媒体的管控工作，主动向社会公众推送重大政策措施、重点工作进展、权威解读回应、突发事件应对等信息，建设权威、规范、便民的政务新媒体矩阵。</w:t>
      </w:r>
    </w:p>
    <w:p w:rsidR="00B22EE9" w:rsidRPr="00B22EE9" w:rsidRDefault="00B22EE9" w:rsidP="00B22EE9">
      <w:pPr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B22EE9">
        <w:rPr>
          <w:rFonts w:ascii="仿宋_GB2312" w:eastAsia="仿宋_GB2312" w:hint="eastAsia"/>
          <w:b/>
          <w:sz w:val="32"/>
          <w:szCs w:val="32"/>
        </w:rPr>
        <w:t>六、其他需要报告的事项</w:t>
      </w:r>
    </w:p>
    <w:p w:rsidR="008112AC" w:rsidRDefault="00B22EE9" w:rsidP="00B22EE9">
      <w:pPr>
        <w:pStyle w:val="text-tag"/>
        <w:shd w:val="clear" w:color="auto" w:fill="FFFFFF"/>
        <w:spacing w:before="0" w:beforeAutospacing="0" w:after="0" w:afterAutospacing="0"/>
        <w:ind w:firstLine="480"/>
        <w:rPr>
          <w:rFonts w:ascii="仿宋_GB2312" w:eastAsia="仿宋_GB2312"/>
          <w:sz w:val="32"/>
          <w:szCs w:val="32"/>
        </w:rPr>
      </w:pPr>
      <w:r w:rsidRPr="00B22EE9">
        <w:rPr>
          <w:rFonts w:ascii="仿宋_GB2312" w:eastAsia="仿宋_GB2312" w:hAnsiTheme="minorHAnsi" w:cstheme="minorBidi" w:hint="eastAsia"/>
          <w:kern w:val="2"/>
          <w:sz w:val="32"/>
          <w:szCs w:val="32"/>
        </w:rPr>
        <w:t>2021年度，</w:t>
      </w:r>
      <w:r w:rsidR="00DC595D">
        <w:rPr>
          <w:rFonts w:ascii="仿宋_GB2312" w:eastAsia="仿宋_GB2312" w:hAnsiTheme="minorHAnsi" w:cstheme="minorBidi" w:hint="eastAsia"/>
          <w:kern w:val="2"/>
          <w:sz w:val="32"/>
          <w:szCs w:val="32"/>
        </w:rPr>
        <w:t>全区</w:t>
      </w:r>
      <w:r w:rsidRPr="00B22EE9">
        <w:rPr>
          <w:rFonts w:ascii="仿宋_GB2312" w:eastAsia="仿宋_GB2312" w:hAnsiTheme="minorHAnsi" w:cstheme="minorBidi" w:hint="eastAsia"/>
          <w:kern w:val="2"/>
          <w:sz w:val="32"/>
          <w:szCs w:val="32"/>
        </w:rPr>
        <w:t>未收取政府信息依申请处理费用。</w:t>
      </w:r>
      <w:r w:rsidR="008112AC" w:rsidRPr="008112AC">
        <w:rPr>
          <w:rFonts w:ascii="仿宋_GB2312" w:eastAsia="仿宋_GB2312" w:hint="eastAsia"/>
          <w:sz w:val="32"/>
          <w:szCs w:val="32"/>
        </w:rPr>
        <w:t>无其他需要报告事项。</w:t>
      </w:r>
    </w:p>
    <w:p w:rsidR="0098571C" w:rsidRDefault="0098571C" w:rsidP="008112A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8571C" w:rsidRDefault="0098571C" w:rsidP="008112A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8571C" w:rsidRDefault="0098571C" w:rsidP="008112AC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8571C" w:rsidRDefault="0098571C" w:rsidP="0098571C">
      <w:pPr>
        <w:wordWrap w:val="0"/>
        <w:ind w:left="420" w:firstLineChars="68" w:firstLine="218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台州市椒江区人民政府办公室    </w:t>
      </w:r>
    </w:p>
    <w:p w:rsidR="0098571C" w:rsidRPr="0098571C" w:rsidRDefault="0098571C" w:rsidP="0098571C">
      <w:pPr>
        <w:wordWrap w:val="0"/>
        <w:ind w:left="420" w:firstLineChars="68" w:firstLine="218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2021年2月18日        </w:t>
      </w:r>
    </w:p>
    <w:sectPr w:rsidR="0098571C" w:rsidRPr="0098571C" w:rsidSect="008119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A2E" w:rsidRPr="0050676B" w:rsidRDefault="00135A2E" w:rsidP="001D4DDE">
      <w:pPr>
        <w:rPr>
          <w:szCs w:val="32"/>
        </w:rPr>
      </w:pPr>
      <w:r>
        <w:separator/>
      </w:r>
    </w:p>
  </w:endnote>
  <w:endnote w:type="continuationSeparator" w:id="0">
    <w:p w:rsidR="00135A2E" w:rsidRPr="0050676B" w:rsidRDefault="00135A2E" w:rsidP="001D4DDE">
      <w:pPr>
        <w:rPr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A2E" w:rsidRPr="0050676B" w:rsidRDefault="00135A2E" w:rsidP="001D4DDE">
      <w:pPr>
        <w:rPr>
          <w:szCs w:val="32"/>
        </w:rPr>
      </w:pPr>
      <w:r>
        <w:separator/>
      </w:r>
    </w:p>
  </w:footnote>
  <w:footnote w:type="continuationSeparator" w:id="0">
    <w:p w:rsidR="00135A2E" w:rsidRPr="0050676B" w:rsidRDefault="00135A2E" w:rsidP="001D4DDE">
      <w:pPr>
        <w:rPr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DDE"/>
    <w:rsid w:val="00051695"/>
    <w:rsid w:val="00135A2E"/>
    <w:rsid w:val="001D4DDE"/>
    <w:rsid w:val="0023712C"/>
    <w:rsid w:val="00393705"/>
    <w:rsid w:val="00457F12"/>
    <w:rsid w:val="0047389B"/>
    <w:rsid w:val="00575FE2"/>
    <w:rsid w:val="005C1306"/>
    <w:rsid w:val="0078594E"/>
    <w:rsid w:val="007877C7"/>
    <w:rsid w:val="007B3DF2"/>
    <w:rsid w:val="008112AC"/>
    <w:rsid w:val="008119B7"/>
    <w:rsid w:val="008F3FBF"/>
    <w:rsid w:val="00957206"/>
    <w:rsid w:val="0098571C"/>
    <w:rsid w:val="009C495D"/>
    <w:rsid w:val="00A356F4"/>
    <w:rsid w:val="00A96CB3"/>
    <w:rsid w:val="00AF4893"/>
    <w:rsid w:val="00B22EE9"/>
    <w:rsid w:val="00B402DD"/>
    <w:rsid w:val="00CA5C9C"/>
    <w:rsid w:val="00DC595D"/>
    <w:rsid w:val="00DD6577"/>
    <w:rsid w:val="00DE390A"/>
    <w:rsid w:val="00E308F8"/>
    <w:rsid w:val="00E37BED"/>
    <w:rsid w:val="00E91855"/>
    <w:rsid w:val="00F0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4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4D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4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4DDE"/>
    <w:rPr>
      <w:sz w:val="18"/>
      <w:szCs w:val="18"/>
    </w:rPr>
  </w:style>
  <w:style w:type="paragraph" w:styleId="a5">
    <w:name w:val="Normal (Web)"/>
    <w:basedOn w:val="a"/>
    <w:uiPriority w:val="99"/>
    <w:unhideWhenUsed/>
    <w:rsid w:val="001D4D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D4DDE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112A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12AC"/>
    <w:rPr>
      <w:sz w:val="18"/>
      <w:szCs w:val="18"/>
    </w:rPr>
  </w:style>
  <w:style w:type="paragraph" w:customStyle="1" w:styleId="text-tag">
    <w:name w:val="text-tag"/>
    <w:basedOn w:val="a"/>
    <w:rsid w:val="00B22E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26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203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22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4392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52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647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07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88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52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900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853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231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7</Pages>
  <Words>364</Words>
  <Characters>2080</Characters>
  <Application>Microsoft Office Word</Application>
  <DocSecurity>0</DocSecurity>
  <Lines>17</Lines>
  <Paragraphs>4</Paragraphs>
  <ScaleCrop>false</ScaleCrop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椒江</dc:creator>
  <cp:keywords/>
  <dc:description/>
  <cp:lastModifiedBy>椒江</cp:lastModifiedBy>
  <cp:revision>16</cp:revision>
  <dcterms:created xsi:type="dcterms:W3CDTF">2021-01-27T08:34:00Z</dcterms:created>
  <dcterms:modified xsi:type="dcterms:W3CDTF">2022-03-02T01:36:00Z</dcterms:modified>
</cp:coreProperties>
</file>