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60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台州市椒江区人民政府</w:t>
      </w:r>
    </w:p>
    <w:p>
      <w:pPr>
        <w:tabs>
          <w:tab w:val="left" w:pos="7560"/>
        </w:tabs>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cs="Tahoma"/>
          <w:bCs/>
          <w:color w:val="000000"/>
          <w:sz w:val="44"/>
          <w:szCs w:val="44"/>
        </w:rPr>
        <w:t>关于</w:t>
      </w:r>
      <w:r>
        <w:rPr>
          <w:rFonts w:hint="eastAsia" w:ascii="方正小标宋简体" w:eastAsia="方正小标宋简体"/>
          <w:bCs/>
          <w:color w:val="000000"/>
          <w:kern w:val="0"/>
          <w:sz w:val="44"/>
          <w:szCs w:val="44"/>
        </w:rPr>
        <w:t>做好2021年度粮油生产工作的通知</w:t>
      </w:r>
    </w:p>
    <w:p>
      <w:pPr>
        <w:tabs>
          <w:tab w:val="left" w:pos="7560"/>
        </w:tabs>
        <w:spacing w:line="600" w:lineRule="exact"/>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(送审稿）</w:t>
      </w:r>
    </w:p>
    <w:p>
      <w:pPr>
        <w:tabs>
          <w:tab w:val="left" w:pos="7560"/>
        </w:tabs>
        <w:spacing w:line="600" w:lineRule="exact"/>
        <w:jc w:val="center"/>
        <w:rPr>
          <w:rFonts w:hint="eastAsia" w:ascii="仿宋_GB2312" w:hAnsi="仿宋_GB2312" w:eastAsia="仿宋_GB2312" w:cs="仿宋_GB2312"/>
          <w:color w:val="000000"/>
          <w:kern w:val="0"/>
          <w:sz w:val="32"/>
          <w:szCs w:val="32"/>
          <w:lang w:val="en-US" w:eastAsia="zh-CN"/>
        </w:rPr>
      </w:pPr>
    </w:p>
    <w:p>
      <w:pPr>
        <w:tabs>
          <w:tab w:val="left" w:pos="7560"/>
        </w:tabs>
        <w:spacing w:line="600" w:lineRule="exact"/>
        <w:rPr>
          <w:rFonts w:ascii="仿宋_GB2312" w:hAnsi="Arial" w:eastAsia="仿宋_GB2312" w:cs="Arial"/>
          <w:color w:val="000000"/>
          <w:kern w:val="0"/>
          <w:sz w:val="32"/>
          <w:szCs w:val="32"/>
        </w:rPr>
      </w:pPr>
      <w:r>
        <w:rPr>
          <w:rFonts w:hint="eastAsia" w:ascii="仿宋_GB2312" w:eastAsia="仿宋_GB2312"/>
          <w:color w:val="000000"/>
          <w:sz w:val="32"/>
          <w:szCs w:val="32"/>
        </w:rPr>
        <w:t>各街道办事处、大陈镇人民政府，区政府直属各单位：</w:t>
      </w:r>
    </w:p>
    <w:p>
      <w:pPr>
        <w:pStyle w:val="4"/>
        <w:overflowPunct w:val="0"/>
        <w:topLinePunct/>
        <w:autoSpaceDE w:val="0"/>
        <w:spacing w:line="620" w:lineRule="exact"/>
        <w:rPr>
          <w:rFonts w:hAnsi="宋体" w:cs="宋体"/>
          <w:color w:val="000000"/>
          <w:kern w:val="0"/>
          <w:szCs w:val="32"/>
        </w:rPr>
      </w:pPr>
      <w:r>
        <w:rPr>
          <w:rFonts w:hint="eastAsia" w:hAnsi="Calibri"/>
          <w:szCs w:val="32"/>
        </w:rPr>
        <w:t>为深入贯彻落实习近平总书记关于确保粮食安全的重要指示批示精神，全面实施“藏粮于地、藏粮于技”战略，牢牢把住粮食安全底线，确保完成</w:t>
      </w:r>
      <w:r>
        <w:rPr>
          <w:rFonts w:hint="eastAsia"/>
          <w:color w:val="000000"/>
          <w:szCs w:val="32"/>
        </w:rPr>
        <w:t>全年7.25万亩粮食播种面积、2.59万吨总产量及2600亩油菜播种面积的任务，</w:t>
      </w:r>
      <w:r>
        <w:rPr>
          <w:rFonts w:hAnsi="宋体" w:cs="仿宋_GB2312"/>
          <w:color w:val="000000"/>
          <w:sz w:val="31"/>
          <w:szCs w:val="31"/>
          <w:shd w:val="clear" w:color="auto" w:fill="FFFFFF"/>
        </w:rPr>
        <w:t>现就有关事项通知如下：</w:t>
      </w:r>
      <w:r>
        <w:rPr>
          <w:rFonts w:hint="eastAsia" w:hAnsi="宋体" w:cs="宋体"/>
          <w:color w:val="000000"/>
          <w:kern w:val="0"/>
          <w:szCs w:val="32"/>
        </w:rPr>
        <w:t xml:space="preserve"> </w:t>
      </w:r>
    </w:p>
    <w:p>
      <w:pPr>
        <w:tabs>
          <w:tab w:val="left" w:pos="7560"/>
        </w:tabs>
        <w:spacing w:line="600" w:lineRule="exact"/>
        <w:ind w:firstLine="640" w:firstLineChars="200"/>
        <w:jc w:val="left"/>
        <w:rPr>
          <w:rFonts w:hint="eastAsia" w:ascii="黑体" w:hAnsi="黑体" w:eastAsia="黑体" w:cs="黑体"/>
          <w:color w:val="000000"/>
          <w:sz w:val="32"/>
          <w:szCs w:val="32"/>
          <w:lang w:eastAsia="zh-CN"/>
        </w:rPr>
      </w:pPr>
      <w:r>
        <w:rPr>
          <w:rFonts w:hint="eastAsia" w:ascii="黑体" w:hAnsi="宋体" w:eastAsia="黑体" w:cs="宋体"/>
          <w:color w:val="000000"/>
          <w:kern w:val="0"/>
          <w:sz w:val="32"/>
          <w:szCs w:val="32"/>
        </w:rPr>
        <w:t>一、</w:t>
      </w:r>
      <w:r>
        <w:rPr>
          <w:rFonts w:hint="eastAsia" w:ascii="黑体" w:hAnsi="宋体" w:eastAsia="黑体" w:cs="宋体"/>
          <w:color w:val="000000"/>
          <w:kern w:val="0"/>
          <w:sz w:val="32"/>
          <w:szCs w:val="32"/>
          <w:lang w:val="en-US" w:eastAsia="zh-CN"/>
        </w:rPr>
        <w:t>加大政策</w:t>
      </w:r>
      <w:r>
        <w:rPr>
          <w:rFonts w:hint="eastAsia" w:ascii="黑体" w:hAnsi="宋体" w:eastAsia="黑体" w:cs="宋体"/>
          <w:color w:val="000000"/>
          <w:kern w:val="0"/>
          <w:sz w:val="32"/>
          <w:szCs w:val="32"/>
        </w:rPr>
        <w:t>扶持</w:t>
      </w:r>
      <w:r>
        <w:rPr>
          <w:rFonts w:hint="eastAsia" w:ascii="黑体" w:hAnsi="宋体" w:eastAsia="黑体" w:cs="宋体"/>
          <w:color w:val="000000"/>
          <w:kern w:val="0"/>
          <w:sz w:val="32"/>
          <w:szCs w:val="32"/>
          <w:lang w:eastAsia="zh-CN"/>
        </w:rPr>
        <w:t>力度</w:t>
      </w:r>
    </w:p>
    <w:p>
      <w:pPr>
        <w:tabs>
          <w:tab w:val="left" w:pos="7560"/>
        </w:tabs>
        <w:spacing w:line="600" w:lineRule="exact"/>
        <w:ind w:firstLine="640" w:firstLineChars="200"/>
        <w:rPr>
          <w:rFonts w:ascii="黑体" w:hAnsi="宋体" w:eastAsia="黑体" w:cs="宋体"/>
          <w:color w:val="000000"/>
          <w:kern w:val="0"/>
          <w:sz w:val="32"/>
          <w:szCs w:val="32"/>
        </w:rPr>
      </w:pPr>
      <w:r>
        <w:rPr>
          <w:rFonts w:hint="eastAsia" w:ascii="仿宋_GB2312" w:eastAsia="仿宋_GB2312"/>
          <w:color w:val="000000"/>
          <w:sz w:val="32"/>
          <w:szCs w:val="32"/>
        </w:rPr>
        <w:t>强化“谁种粮谁受益，谁多种粮谁多得”导向，稳定和加强种粮农民补贴，调动农民种粮积极性。对全年稻麦复种面积50亩（含）以上的种粮大户、家庭农场、粮食专业合作社等粮</w:t>
      </w:r>
      <w:r>
        <w:rPr>
          <w:rFonts w:hint="eastAsia" w:ascii="仿宋_GB2312" w:eastAsia="仿宋_GB2312"/>
          <w:sz w:val="32"/>
          <w:szCs w:val="32"/>
        </w:rPr>
        <w:t>食规模化生产经营主体，按实际种植面积早稻、连作晚稻每亩分别补贴350元、360元，其它粮食作物（含第二茬的再生稻）每亩补贴200元。对一季旱粮种植面积50亩以上的主体，给予每亩300元的直接补贴；对在“三园”地间作套种同一旱粮作物（不含大小麦）50亩以上且套种面积比例达50%以上的给予每亩150元的直接补贴；对种植油菜50亩以上的规模主体，给予每亩200元的直接补贴（已享受椒政办发〔2017〕7号文件政策补助的，</w:t>
      </w:r>
      <w:r>
        <w:rPr>
          <w:rFonts w:hint="eastAsia" w:ascii="仿宋_GB2312" w:eastAsia="仿宋_GB2312"/>
          <w:sz w:val="32"/>
          <w:szCs w:val="32"/>
          <w:lang w:val="zh-CN"/>
        </w:rPr>
        <w:t>不再重复补助）</w:t>
      </w:r>
      <w:r>
        <w:rPr>
          <w:rFonts w:hint="eastAsia" w:ascii="仿宋_GB2312" w:eastAsia="仿宋_GB2312"/>
          <w:sz w:val="32"/>
          <w:szCs w:val="32"/>
        </w:rPr>
        <w:t>；继续执行规模种粮贷款贴息政策，财政</w:t>
      </w:r>
      <w:r>
        <w:rPr>
          <w:rFonts w:hint="eastAsia" w:ascii="仿宋_GB2312" w:eastAsia="仿宋_GB2312"/>
          <w:color w:val="000000"/>
          <w:sz w:val="32"/>
          <w:szCs w:val="32"/>
        </w:rPr>
        <w:t>按3%的贴息率进行贷款贴息。落实好稻麦生产政策性保险，对全年稻麦种植面积50亩（含）以上的规模化生产主体，参加水稻、大小麦政策性保险的，保费由财政全额承担；对其他符合参保条件的农户，财政给予93%的保费补助。</w:t>
      </w:r>
    </w:p>
    <w:p>
      <w:pPr>
        <w:numPr>
          <w:ilvl w:val="0"/>
          <w:numId w:val="1"/>
        </w:numPr>
        <w:tabs>
          <w:tab w:val="left" w:pos="7560"/>
        </w:tabs>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落实粮食订单收购</w:t>
      </w:r>
    </w:p>
    <w:p>
      <w:pPr>
        <w:tabs>
          <w:tab w:val="left" w:pos="7560"/>
        </w:tabs>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严格执行国家发布的2021年稻谷、小麦最低收购价政策，确保不出现农民“卖粮难”。当稻谷、小麦市场价格低于最低收购价时，启动最低收购价执行预案，由国有粮食收储公司入市收购，所产生的差价、利息和费用，由区财政负担。及时足额落实地方储备粮规模，地方储备粮轮换补库粮源优先落实到规模种粮主体，并向粮食生产功能区倾斜。区财政对按订单向国有粮食收储企业交售区级储备稻谷（含订单水稻良种）和小麦的种粮主体给予奖励。早稻、晚稻实行订单全覆盖，早稻订单每50公斤奖励30元，晚稻订单每50公斤奖励20元；小麦订单50公斤奖励30元，每亩不超过150元；每交售50公斤常规水稻种子奖励30元，每亩最高奖励240元。国有粮食收储公司要做好粮食收购“一站式”服务，完善除杂机、输送机等机械设备配置，方便农民售粮。按椒发改粮〔2020〕12号文件规定做好“订单粮食”预购定金政府贴息发放工作。开展订单粮食“诚信”活动，按椒发改粮〔2019〕26号文件要求，对历年订单履约率高、粮食质量好的签约对象，适当提高“订单粮食”数量和奖励。进一步推进“五优联动”工作，对优质晚稻谷进行额外奖励，全力打造优质粮食产业链，为构建更高标准、更高质量、更高效益、更可持续的粮食安全保障体系提供有力支撑。</w:t>
      </w:r>
    </w:p>
    <w:p>
      <w:pPr>
        <w:tabs>
          <w:tab w:val="left" w:pos="7560"/>
        </w:tabs>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三、提升粮食生产能力</w:t>
      </w:r>
    </w:p>
    <w:p>
      <w:pPr>
        <w:tabs>
          <w:tab w:val="left" w:pos="7560"/>
        </w:tabs>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落实“藏粮于地”战略，采取长牙齿的硬措施，落实最严格的耕地保护制度。组织开展“六个严禁”自查自纠，遏制增量、处置存量，坚决遏制耕地“非农化”、防止“非粮化”。加快高标准农田建设，加强农田水利建设，不断提升耕地地力。加强</w:t>
      </w:r>
      <w:bookmarkStart w:id="0" w:name="_Hlk61369006"/>
      <w:r>
        <w:rPr>
          <w:rFonts w:hint="eastAsia" w:ascii="仿宋_GB2312" w:eastAsia="仿宋_GB2312"/>
          <w:color w:val="000000"/>
          <w:sz w:val="32"/>
          <w:szCs w:val="32"/>
        </w:rPr>
        <w:t>粮食生产功能区的管护</w:t>
      </w:r>
      <w:bookmarkEnd w:id="0"/>
      <w:r>
        <w:rPr>
          <w:rFonts w:hint="eastAsia" w:ascii="仿宋_GB2312" w:eastAsia="仿宋_GB2312"/>
          <w:color w:val="000000"/>
          <w:sz w:val="32"/>
          <w:szCs w:val="32"/>
        </w:rPr>
        <w:t>利用，全面开展粮食生产功能区“非粮化”清理腾退和调整修编，力争粮食复种指数提高到130%以上。对粮食生产功能区“非粮化”比例</w:t>
      </w:r>
      <w:r>
        <w:rPr>
          <w:rFonts w:hint="eastAsia" w:ascii="仿宋_GB2312" w:eastAsia="仿宋_GB2312"/>
          <w:color w:val="000000"/>
          <w:sz w:val="32"/>
          <w:szCs w:val="32"/>
          <w:lang w:eastAsia="zh-CN"/>
        </w:rPr>
        <w:t>控制在</w:t>
      </w:r>
      <w:r>
        <w:rPr>
          <w:rFonts w:hint="eastAsia" w:ascii="仿宋_GB2312" w:eastAsia="仿宋_GB2312"/>
          <w:color w:val="000000"/>
          <w:sz w:val="32"/>
          <w:szCs w:val="32"/>
          <w:lang w:val="en-US" w:eastAsia="zh-CN"/>
        </w:rPr>
        <w:t>5%以内或大于5%小于10%</w:t>
      </w:r>
      <w:r>
        <w:rPr>
          <w:rFonts w:hint="eastAsia" w:ascii="仿宋_GB2312" w:eastAsia="仿宋_GB2312"/>
          <w:color w:val="000000"/>
          <w:sz w:val="32"/>
          <w:szCs w:val="32"/>
        </w:rPr>
        <w:t>的行政村，按粮食生产功能区保持种粮属性面积</w:t>
      </w:r>
      <w:r>
        <w:rPr>
          <w:rFonts w:hint="eastAsia" w:ascii="仿宋_GB2312" w:eastAsia="仿宋_GB2312"/>
          <w:color w:val="000000"/>
          <w:sz w:val="32"/>
          <w:szCs w:val="32"/>
        </w:rPr>
        <w:t>，分别给予村级集体经济组织每亩50元、</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0元的管护</w:t>
      </w:r>
      <w:r>
        <w:rPr>
          <w:rFonts w:hint="eastAsia" w:ascii="仿宋_GB2312" w:eastAsia="仿宋_GB2312"/>
          <w:color w:val="000000"/>
          <w:sz w:val="32"/>
          <w:szCs w:val="32"/>
          <w:lang w:eastAsia="zh-CN"/>
        </w:rPr>
        <w:t>经费补助</w:t>
      </w:r>
      <w:r>
        <w:rPr>
          <w:rFonts w:hint="eastAsia" w:ascii="仿宋_GB2312" w:eastAsia="仿宋_GB2312"/>
          <w:color w:val="000000"/>
          <w:sz w:val="32"/>
          <w:szCs w:val="32"/>
        </w:rPr>
        <w:t>。严格控制耕地抛荒，探索建立耕地抛荒负面清单制度，推进抛荒耕地流转，积极引导社会化服务组织、大户等开展代耕代种服务。</w:t>
      </w:r>
    </w:p>
    <w:p>
      <w:pPr>
        <w:numPr>
          <w:ilvl w:val="0"/>
          <w:numId w:val="2"/>
        </w:numPr>
        <w:tabs>
          <w:tab w:val="left" w:pos="7560"/>
        </w:tabs>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提高粮油生产水平</w:t>
      </w:r>
    </w:p>
    <w:p>
      <w:pPr>
        <w:tabs>
          <w:tab w:val="left" w:pos="7560"/>
        </w:tabs>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落实“藏粮于技”战略，推进粮油生产结构布局优化，推动良种良法良制相配套，推广优质高产多抗粮油品种，确保良种覆盖率达到98%以上，加强农业关键核心技术集成应用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切实提高粮油生产水平。区政府对</w:t>
      </w:r>
      <w:r>
        <w:rPr>
          <w:rFonts w:hint="eastAsia" w:ascii="仿宋_GB2312" w:eastAsia="仿宋_GB2312"/>
          <w:color w:val="000000"/>
          <w:sz w:val="32"/>
          <w:szCs w:val="32"/>
          <w:lang w:eastAsia="zh-CN"/>
        </w:rPr>
        <w:t>验收</w:t>
      </w:r>
      <w:r>
        <w:rPr>
          <w:rFonts w:hint="eastAsia" w:ascii="仿宋_GB2312" w:eastAsia="仿宋_GB2312"/>
          <w:color w:val="000000"/>
          <w:sz w:val="32"/>
          <w:szCs w:val="32"/>
          <w:lang w:val="en-US" w:eastAsia="zh-CN"/>
        </w:rPr>
        <w:t>达标的</w:t>
      </w:r>
      <w:r>
        <w:rPr>
          <w:rFonts w:hint="eastAsia" w:ascii="仿宋_GB2312" w:eastAsia="仿宋_GB2312"/>
          <w:color w:val="000000"/>
          <w:sz w:val="32"/>
          <w:szCs w:val="32"/>
        </w:rPr>
        <w:t>水稻高产高效创建示范方给予2万元的奖励</w:t>
      </w:r>
      <w:r>
        <w:rPr>
          <w:rFonts w:hint="eastAsia" w:ascii="仿宋_GB2312" w:eastAsia="仿宋_GB2312"/>
          <w:color w:val="000000"/>
          <w:sz w:val="32"/>
          <w:szCs w:val="32"/>
          <w:lang w:eastAsia="zh-CN"/>
        </w:rPr>
        <w:t>，对获省、市好稻米“金奖”的主体分别给予</w:t>
      </w:r>
      <w:r>
        <w:rPr>
          <w:rFonts w:hint="eastAsia" w:ascii="仿宋_GB2312" w:eastAsia="仿宋_GB2312"/>
          <w:color w:val="000000"/>
          <w:sz w:val="32"/>
          <w:szCs w:val="32"/>
          <w:lang w:val="en-US" w:eastAsia="zh-CN"/>
        </w:rPr>
        <w:t>2万元、1万元的奖励</w:t>
      </w:r>
      <w:r>
        <w:rPr>
          <w:rFonts w:hint="eastAsia" w:ascii="仿宋_GB2312" w:eastAsia="仿宋_GB2312"/>
          <w:color w:val="000000"/>
          <w:sz w:val="32"/>
          <w:szCs w:val="32"/>
        </w:rPr>
        <w:t>。加快推动化肥农药实名制购买、定额制施用，推广测土配方施肥、病虫绿色防控技术，加快生物有机肥和生物农药应用。继续对在粮食生产功能区内集中连片综合应用杀虫灯、性诱剂及种植香根草、菊花、向日葵等绿色防控技术300亩以上的，按防控设施（含购买香根草、菊花、向日葵等种子种苗成本）当年实际投资额的80%给予补助，最高补助120元/亩。</w:t>
      </w:r>
    </w:p>
    <w:p>
      <w:pPr>
        <w:tabs>
          <w:tab w:val="left" w:pos="7560"/>
        </w:tabs>
        <w:topLinePunct/>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五、深化体制机制创新</w:t>
      </w:r>
    </w:p>
    <w:p>
      <w:pPr>
        <w:tabs>
          <w:tab w:val="left" w:pos="7560"/>
        </w:tabs>
        <w:spacing w:line="600" w:lineRule="exact"/>
        <w:ind w:firstLine="640"/>
        <w:rPr>
          <w:rFonts w:ascii="仿宋_GB2312" w:eastAsia="仿宋_GB2312"/>
          <w:sz w:val="32"/>
          <w:szCs w:val="32"/>
        </w:rPr>
      </w:pPr>
      <w:r>
        <w:rPr>
          <w:rFonts w:eastAsia="仿宋_GB2312"/>
          <w:kern w:val="0"/>
          <w:sz w:val="32"/>
          <w:szCs w:val="32"/>
        </w:rPr>
        <w:t>加强粮</w:t>
      </w:r>
      <w:r>
        <w:rPr>
          <w:rFonts w:hint="eastAsia" w:eastAsia="仿宋_GB2312"/>
          <w:kern w:val="0"/>
          <w:sz w:val="32"/>
          <w:szCs w:val="32"/>
        </w:rPr>
        <w:t>油生产</w:t>
      </w:r>
      <w:r>
        <w:rPr>
          <w:rFonts w:eastAsia="仿宋_GB2312"/>
          <w:kern w:val="0"/>
          <w:sz w:val="32"/>
          <w:szCs w:val="32"/>
        </w:rPr>
        <w:t>主体培育，大力培养新型职业农民和产业带头人</w:t>
      </w:r>
      <w:r>
        <w:rPr>
          <w:rFonts w:hint="eastAsia" w:eastAsia="仿宋_GB2312"/>
          <w:kern w:val="0"/>
          <w:sz w:val="32"/>
          <w:szCs w:val="32"/>
        </w:rPr>
        <w:t>。</w:t>
      </w:r>
      <w:r>
        <w:rPr>
          <w:rFonts w:eastAsia="仿宋_GB2312"/>
          <w:kern w:val="0"/>
          <w:sz w:val="32"/>
          <w:szCs w:val="32"/>
        </w:rPr>
        <w:t>鼓励</w:t>
      </w:r>
      <w:r>
        <w:rPr>
          <w:rFonts w:hint="eastAsia" w:eastAsia="仿宋_GB2312"/>
          <w:kern w:val="0"/>
          <w:sz w:val="32"/>
          <w:szCs w:val="32"/>
        </w:rPr>
        <w:t>各地开展</w:t>
      </w:r>
      <w:r>
        <w:rPr>
          <w:rFonts w:eastAsia="仿宋_GB2312"/>
          <w:kern w:val="0"/>
          <w:sz w:val="32"/>
          <w:szCs w:val="32"/>
        </w:rPr>
        <w:t>整村流转，采取转包、出租、互换及入股等方式将承包耕地流转给种粮农民</w:t>
      </w:r>
      <w:r>
        <w:rPr>
          <w:rFonts w:hint="eastAsia" w:eastAsia="仿宋_GB2312"/>
          <w:kern w:val="0"/>
          <w:sz w:val="32"/>
          <w:szCs w:val="32"/>
        </w:rPr>
        <w:t>、</w:t>
      </w:r>
      <w:r>
        <w:rPr>
          <w:rFonts w:hint="eastAsia" w:ascii="仿宋_GB2312" w:eastAsia="仿宋_GB2312"/>
          <w:sz w:val="32"/>
          <w:szCs w:val="32"/>
        </w:rPr>
        <w:t>家庭农场、农民合作社</w:t>
      </w:r>
      <w:r>
        <w:rPr>
          <w:rFonts w:eastAsia="仿宋_GB2312"/>
          <w:kern w:val="0"/>
          <w:sz w:val="32"/>
          <w:szCs w:val="32"/>
        </w:rPr>
        <w:t>，实现粮食连片耕种，</w:t>
      </w:r>
      <w:r>
        <w:rPr>
          <w:rFonts w:eastAsia="仿宋_GB2312"/>
          <w:kern w:val="0"/>
          <w:sz w:val="32"/>
          <w:szCs w:val="32"/>
          <w:shd w:val="clear" w:color="auto" w:fill="FFFFFF"/>
        </w:rPr>
        <w:t>发展多种形式</w:t>
      </w:r>
      <w:r>
        <w:rPr>
          <w:rFonts w:eastAsia="仿宋_GB2312"/>
          <w:kern w:val="0"/>
          <w:sz w:val="32"/>
          <w:szCs w:val="32"/>
        </w:rPr>
        <w:t>粮食适度规模经</w:t>
      </w:r>
      <w:r>
        <w:rPr>
          <w:rFonts w:eastAsia="仿宋_GB2312"/>
          <w:kern w:val="0"/>
          <w:sz w:val="32"/>
          <w:szCs w:val="32"/>
          <w:shd w:val="clear" w:color="auto" w:fill="FFFFFF"/>
        </w:rPr>
        <w:t>营</w:t>
      </w:r>
      <w:r>
        <w:rPr>
          <w:rFonts w:hint="eastAsia" w:eastAsia="仿宋_GB2312"/>
          <w:kern w:val="0"/>
          <w:sz w:val="32"/>
          <w:szCs w:val="32"/>
          <w:shd w:val="clear" w:color="auto" w:fill="FFFFFF"/>
        </w:rPr>
        <w:t>。加快发展粮油生产全程机械化作业和社会化服务，着力提高水稻耕种收综合机械化率水平。对为散户提供水稻统一育插秧服务面积100亩以上、病虫害统防统治服务面积300亩以上的粮食生产专业化服务组</w:t>
      </w:r>
      <w:r>
        <w:rPr>
          <w:rFonts w:hint="eastAsia" w:ascii="仿宋_GB2312" w:eastAsia="仿宋_GB2312"/>
          <w:sz w:val="32"/>
          <w:szCs w:val="32"/>
        </w:rPr>
        <w:t>织，</w:t>
      </w:r>
      <w:r>
        <w:rPr>
          <w:rFonts w:hint="eastAsia" w:ascii="仿宋_GB2312" w:eastAsia="仿宋_GB2312"/>
          <w:kern w:val="0"/>
          <w:sz w:val="32"/>
          <w:szCs w:val="32"/>
        </w:rPr>
        <w:t>按其在区内实际服务面积，各</w:t>
      </w:r>
      <w:r>
        <w:rPr>
          <w:rFonts w:hint="eastAsia" w:ascii="仿宋_GB2312" w:eastAsia="仿宋_GB2312"/>
          <w:sz w:val="32"/>
          <w:szCs w:val="32"/>
        </w:rPr>
        <w:t>给予每亩120元的补贴。鼓励跨区域组建粮食专业合作社联合社，推进</w:t>
      </w:r>
      <w:r>
        <w:rPr>
          <w:rFonts w:hint="eastAsia" w:ascii="仿宋_GB2312" w:hAnsi="仿宋_GB2312" w:eastAsia="仿宋_GB2312"/>
          <w:sz w:val="32"/>
          <w:szCs w:val="32"/>
        </w:rPr>
        <w:t>农业全程社会化</w:t>
      </w:r>
      <w:r>
        <w:rPr>
          <w:rFonts w:hint="eastAsia" w:ascii="仿宋_GB2312" w:eastAsia="仿宋_GB2312"/>
          <w:sz w:val="32"/>
          <w:szCs w:val="32"/>
        </w:rPr>
        <w:t>服务。</w:t>
      </w:r>
      <w:r>
        <w:rPr>
          <w:rFonts w:hint="eastAsia" w:ascii="仿宋_GB2312" w:hAnsi="仿宋_GB2312" w:eastAsia="仿宋_GB2312"/>
          <w:sz w:val="32"/>
          <w:szCs w:val="32"/>
        </w:rPr>
        <w:t>以</w:t>
      </w:r>
      <w:r>
        <w:rPr>
          <w:rFonts w:hint="eastAsia" w:ascii="仿宋_GB2312" w:eastAsia="仿宋_GB2312" w:cs="仿宋_GB2312"/>
          <w:sz w:val="32"/>
          <w:szCs w:val="32"/>
        </w:rPr>
        <w:t>联合社作为规模种粮补贴资金申报主体的，在享受规模种粮补贴的基础上，再给予每亩20元的补贴。</w:t>
      </w:r>
      <w:r>
        <w:rPr>
          <w:rFonts w:hint="eastAsia" w:ascii="仿宋_GB2312" w:eastAsia="仿宋_GB2312"/>
          <w:sz w:val="32"/>
          <w:szCs w:val="32"/>
        </w:rPr>
        <w:t>推进农作制度创新，扩大粮经结合、水旱轮作等高效生态模</w:t>
      </w:r>
      <w:r>
        <w:rPr>
          <w:rFonts w:hint="eastAsia" w:ascii="仿宋_GB2312" w:hAnsi="宋体" w:eastAsia="仿宋_GB2312" w:cs="仿宋"/>
          <w:sz w:val="32"/>
          <w:szCs w:val="32"/>
        </w:rPr>
        <w:t>式推广应用。</w:t>
      </w:r>
      <w:r>
        <w:rPr>
          <w:rFonts w:hint="eastAsia" w:ascii="仿宋_GB2312" w:eastAsia="仿宋_GB2312"/>
          <w:sz w:val="32"/>
          <w:szCs w:val="32"/>
        </w:rPr>
        <w:t>在符合规模种粮补贴条件的前提下，对前作为大棚瓜菜的晚稻给予每亩360元的补贴。</w:t>
      </w:r>
    </w:p>
    <w:p>
      <w:pPr>
        <w:tabs>
          <w:tab w:val="left" w:pos="7560"/>
        </w:tabs>
        <w:spacing w:line="600" w:lineRule="exact"/>
        <w:ind w:left="420" w:leftChars="200" w:firstLine="320" w:firstLineChars="100"/>
        <w:rPr>
          <w:rFonts w:ascii="仿宋_GB2312" w:eastAsia="仿宋_GB2312"/>
          <w:sz w:val="32"/>
          <w:szCs w:val="32"/>
          <w:shd w:val="clear" w:color="auto" w:fill="FFFFFF"/>
        </w:rPr>
      </w:pPr>
      <w:r>
        <w:rPr>
          <w:rFonts w:hint="eastAsia" w:ascii="黑体" w:hAnsi="黑体" w:eastAsia="黑体" w:cs="宋体"/>
          <w:kern w:val="0"/>
          <w:sz w:val="32"/>
          <w:szCs w:val="32"/>
        </w:rPr>
        <w:t>六、强化工作责任落实</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粮食安全是国家安全的重要基础，确保粮食安全始终是治国理政的头等大事。各地要主动扛起粮食安全的政治责任，加强组织领导，明确职责分工，压实主体责任，层层抓好落实，保障粮食生产稳定。加强粮食生产目标责任制考核，继续开展优秀种粮大户表彰奖励。相关涉农部门要各司其职，密切配合，合力抓好粮油生产保供工作。深化“三联三送三服务”活动，帮助农民群众纾困解难，广泛宣传粮油生产政策，让广大农户充分了解种粮优惠政策，营造全社会重视和关注粮食生产的良好氛围。加大粮食补贴资金的监督检查，</w:t>
      </w:r>
      <w:r>
        <w:rPr>
          <w:rFonts w:hint="eastAsia" w:ascii="仿宋_GB2312" w:eastAsia="仿宋_GB2312"/>
          <w:sz w:val="32"/>
          <w:szCs w:val="32"/>
          <w:lang w:eastAsia="zh-CN"/>
        </w:rPr>
        <w:t>若发</w:t>
      </w:r>
      <w:r>
        <w:rPr>
          <w:rFonts w:hint="eastAsia" w:ascii="仿宋_GB2312" w:eastAsia="仿宋_GB2312"/>
          <w:sz w:val="32"/>
          <w:szCs w:val="32"/>
        </w:rPr>
        <w:t>现</w:t>
      </w:r>
      <w:r>
        <w:rPr>
          <w:rFonts w:hint="eastAsia" w:ascii="仿宋_GB2312" w:eastAsia="仿宋_GB2312"/>
          <w:sz w:val="32"/>
          <w:szCs w:val="32"/>
          <w:lang w:eastAsia="zh-CN"/>
        </w:rPr>
        <w:t>申报补贴面积超出实际种植面积的，除扣减多</w:t>
      </w:r>
      <w:r>
        <w:rPr>
          <w:rFonts w:hint="eastAsia" w:ascii="仿宋_GB2312" w:eastAsia="仿宋_GB2312"/>
          <w:sz w:val="32"/>
          <w:szCs w:val="32"/>
        </w:rPr>
        <w:t>报</w:t>
      </w:r>
      <w:r>
        <w:rPr>
          <w:rFonts w:hint="eastAsia" w:ascii="仿宋_GB2312" w:eastAsia="仿宋_GB2312"/>
          <w:sz w:val="32"/>
          <w:szCs w:val="32"/>
          <w:lang w:eastAsia="zh-CN"/>
        </w:rPr>
        <w:t>的面积外，酌情降低相应的补贴标准，具体标准：</w:t>
      </w:r>
      <w:bookmarkStart w:id="1" w:name="_Hlk61369556"/>
      <w:r>
        <w:rPr>
          <w:rFonts w:hint="eastAsia" w:ascii="仿宋_GB2312" w:eastAsia="仿宋_GB2312"/>
          <w:sz w:val="32"/>
          <w:szCs w:val="32"/>
          <w:lang w:eastAsia="zh-CN"/>
        </w:rPr>
        <w:t>申报补贴面积超出实际种植面积</w:t>
      </w:r>
      <w:bookmarkEnd w:id="1"/>
      <w:r>
        <w:rPr>
          <w:rFonts w:hint="eastAsia" w:ascii="仿宋_GB2312" w:eastAsia="仿宋_GB2312"/>
          <w:sz w:val="32"/>
          <w:szCs w:val="32"/>
        </w:rPr>
        <w:t>5%</w:t>
      </w:r>
      <w:r>
        <w:rPr>
          <w:rFonts w:hint="eastAsia" w:ascii="仿宋_GB2312" w:eastAsia="仿宋_GB2312"/>
          <w:sz w:val="32"/>
          <w:szCs w:val="32"/>
          <w:lang w:eastAsia="zh-CN"/>
        </w:rPr>
        <w:t>（含）以内</w:t>
      </w:r>
      <w:r>
        <w:rPr>
          <w:rFonts w:hint="eastAsia" w:ascii="仿宋_GB2312" w:eastAsia="仿宋_GB2312"/>
          <w:sz w:val="32"/>
          <w:szCs w:val="32"/>
        </w:rPr>
        <w:t>的，按实际</w:t>
      </w:r>
      <w:r>
        <w:rPr>
          <w:rFonts w:hint="eastAsia" w:ascii="仿宋_GB2312" w:eastAsia="仿宋_GB2312"/>
          <w:sz w:val="32"/>
          <w:szCs w:val="32"/>
          <w:lang w:eastAsia="zh-CN"/>
        </w:rPr>
        <w:t>种植</w:t>
      </w:r>
      <w:r>
        <w:rPr>
          <w:rFonts w:hint="eastAsia" w:ascii="仿宋_GB2312" w:eastAsia="仿宋_GB2312"/>
          <w:sz w:val="32"/>
          <w:szCs w:val="32"/>
        </w:rPr>
        <w:t>面积补贴；</w:t>
      </w:r>
      <w:r>
        <w:rPr>
          <w:rFonts w:hint="eastAsia" w:ascii="仿宋_GB2312" w:eastAsia="仿宋_GB2312"/>
          <w:sz w:val="32"/>
          <w:szCs w:val="32"/>
          <w:lang w:val="en-US" w:eastAsia="zh-CN"/>
        </w:rPr>
        <w:t>大于5%小于10%、大于10%的，补贴面积按实计算，但</w:t>
      </w:r>
      <w:r>
        <w:rPr>
          <w:rFonts w:hint="eastAsia" w:ascii="仿宋_GB2312" w:eastAsia="仿宋_GB2312"/>
          <w:sz w:val="32"/>
          <w:szCs w:val="32"/>
        </w:rPr>
        <w:t>补贴标准每亩分别调减50元、100元，并取消当年度优秀种粮大户评选资格。</w:t>
      </w:r>
      <w:bookmarkStart w:id="2" w:name="_GoBack"/>
      <w:bookmarkEnd w:id="2"/>
    </w:p>
    <w:p>
      <w:pPr>
        <w:tabs>
          <w:tab w:val="left" w:pos="7560"/>
        </w:tabs>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附件：2021年椒江区粮食生产考核任务表</w:t>
      </w:r>
    </w:p>
    <w:p>
      <w:pPr>
        <w:spacing w:line="620" w:lineRule="exact"/>
        <w:ind w:firstLine="640" w:firstLineChars="200"/>
        <w:rPr>
          <w:rFonts w:ascii="仿宋_GB2312" w:eastAsia="仿宋_GB2312"/>
          <w:color w:val="000000"/>
          <w:sz w:val="32"/>
          <w:szCs w:val="32"/>
        </w:rPr>
      </w:pPr>
    </w:p>
    <w:p>
      <w:pPr>
        <w:spacing w:line="620" w:lineRule="exact"/>
        <w:ind w:firstLine="640" w:firstLineChars="200"/>
        <w:rPr>
          <w:rFonts w:ascii="仿宋_GB2312" w:eastAsia="仿宋_GB2312"/>
          <w:color w:val="000000"/>
          <w:sz w:val="32"/>
          <w:szCs w:val="32"/>
        </w:rPr>
      </w:pPr>
    </w:p>
    <w:p>
      <w:pPr>
        <w:tabs>
          <w:tab w:val="left" w:pos="7560"/>
        </w:tabs>
        <w:spacing w:line="620" w:lineRule="exact"/>
        <w:ind w:firstLine="4640" w:firstLineChars="1450"/>
        <w:rPr>
          <w:rFonts w:ascii="仿宋_GB2312" w:eastAsia="仿宋_GB2312"/>
          <w:color w:val="000000"/>
          <w:sz w:val="32"/>
          <w:szCs w:val="32"/>
        </w:rPr>
      </w:pPr>
      <w:r>
        <w:rPr>
          <w:rFonts w:hint="eastAsia" w:ascii="仿宋_GB2312" w:eastAsia="仿宋_GB2312"/>
          <w:color w:val="000000"/>
          <w:sz w:val="32"/>
          <w:szCs w:val="32"/>
        </w:rPr>
        <w:t>台州市椒江区人民政府</w:t>
      </w:r>
    </w:p>
    <w:p>
      <w:pPr>
        <w:tabs>
          <w:tab w:val="left" w:pos="7455"/>
          <w:tab w:val="left" w:pos="7665"/>
        </w:tabs>
        <w:spacing w:line="620" w:lineRule="exact"/>
        <w:ind w:firstLine="5440" w:firstLineChars="1700"/>
        <w:rPr>
          <w:rFonts w:ascii="仿宋_GB2312" w:eastAsia="仿宋_GB2312"/>
          <w:color w:val="000000"/>
          <w:sz w:val="32"/>
          <w:szCs w:val="32"/>
        </w:rPr>
      </w:pPr>
      <w:r>
        <w:rPr>
          <w:rFonts w:hint="eastAsia" w:ascii="仿宋_GB2312" w:eastAsia="仿宋_GB2312"/>
          <w:color w:val="000000"/>
          <w:sz w:val="32"/>
          <w:szCs w:val="32"/>
        </w:rPr>
        <w:t>202</w:t>
      </w:r>
      <w:r>
        <w:rPr>
          <w:rFonts w:ascii="仿宋_GB2312" w:eastAsia="仿宋_GB2312"/>
          <w:color w:val="000000"/>
          <w:sz w:val="32"/>
          <w:szCs w:val="32"/>
        </w:rPr>
        <w:t>1</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 日</w:t>
      </w:r>
    </w:p>
    <w:p>
      <w:pPr>
        <w:spacing w:line="620" w:lineRule="exact"/>
        <w:rPr>
          <w:rFonts w:ascii="仿宋_GB2312" w:eastAsia="仿宋_GB2312"/>
          <w:color w:val="000000"/>
          <w:sz w:val="32"/>
          <w:szCs w:val="32"/>
        </w:rPr>
      </w:pPr>
    </w:p>
    <w:p>
      <w:pPr>
        <w:spacing w:line="620" w:lineRule="exact"/>
        <w:rPr>
          <w:rFonts w:ascii="仿宋_GB2312" w:eastAsia="仿宋_GB2312"/>
          <w:color w:val="000000"/>
          <w:sz w:val="32"/>
          <w:szCs w:val="32"/>
        </w:rPr>
      </w:pPr>
    </w:p>
    <w:p>
      <w:pPr>
        <w:spacing w:line="620" w:lineRule="exact"/>
        <w:rPr>
          <w:rFonts w:ascii="仿宋_GB2312" w:eastAsia="仿宋_GB2312"/>
          <w:color w:val="000000"/>
          <w:sz w:val="32"/>
          <w:szCs w:val="32"/>
        </w:rPr>
      </w:pPr>
    </w:p>
    <w:p>
      <w:pPr>
        <w:rPr>
          <w:rFonts w:ascii="黑体" w:hAnsi="黑体" w:eastAsia="黑体" w:cs="仿宋_GB2312"/>
          <w:color w:val="000000"/>
          <w:sz w:val="32"/>
          <w:szCs w:val="32"/>
        </w:rPr>
      </w:pPr>
    </w:p>
    <w:p>
      <w:pPr>
        <w:spacing w:line="240" w:lineRule="auto"/>
        <w:rPr>
          <w:rFonts w:ascii="黑体" w:hAnsi="黑体" w:eastAsia="黑体"/>
          <w:color w:val="000000"/>
          <w:sz w:val="32"/>
          <w:szCs w:val="32"/>
        </w:rPr>
      </w:pPr>
      <w:r>
        <w:rPr>
          <w:rFonts w:hint="eastAsia" w:ascii="黑体" w:hAnsi="黑体" w:eastAsia="黑体" w:cs="仿宋_GB2312"/>
          <w:color w:val="000000"/>
          <w:sz w:val="32"/>
          <w:szCs w:val="32"/>
        </w:rPr>
        <w:t>附件</w:t>
      </w:r>
    </w:p>
    <w:tbl>
      <w:tblPr>
        <w:tblStyle w:val="6"/>
        <w:tblpPr w:leftFromText="180" w:rightFromText="180" w:vertAnchor="text" w:horzAnchor="page" w:tblpX="1907" w:tblpY="634"/>
        <w:tblOverlap w:val="never"/>
        <w:tblW w:w="0" w:type="auto"/>
        <w:tblInd w:w="0" w:type="dxa"/>
        <w:tblLayout w:type="fixed"/>
        <w:tblCellMar>
          <w:top w:w="0" w:type="dxa"/>
          <w:left w:w="108" w:type="dxa"/>
          <w:bottom w:w="0" w:type="dxa"/>
          <w:right w:w="108" w:type="dxa"/>
        </w:tblCellMar>
      </w:tblPr>
      <w:tblGrid>
        <w:gridCol w:w="1845"/>
        <w:gridCol w:w="1668"/>
        <w:gridCol w:w="1668"/>
        <w:gridCol w:w="1668"/>
        <w:gridCol w:w="1668"/>
      </w:tblGrid>
      <w:tr>
        <w:tblPrEx>
          <w:tblCellMar>
            <w:top w:w="0" w:type="dxa"/>
            <w:left w:w="108" w:type="dxa"/>
            <w:bottom w:w="0" w:type="dxa"/>
            <w:right w:w="108" w:type="dxa"/>
          </w:tblCellMar>
        </w:tblPrEx>
        <w:trPr>
          <w:trHeight w:val="799" w:hRule="atLeast"/>
        </w:trPr>
        <w:tc>
          <w:tcPr>
            <w:tcW w:w="8517" w:type="dxa"/>
            <w:gridSpan w:val="5"/>
            <w:tcBorders>
              <w:top w:val="nil"/>
              <w:left w:val="nil"/>
              <w:bottom w:val="nil"/>
              <w:right w:val="nil"/>
            </w:tcBorders>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w:t>
            </w:r>
            <w:r>
              <w:rPr>
                <w:rFonts w:ascii="方正小标宋简体" w:hAnsi="宋体" w:eastAsia="方正小标宋简体" w:cs="宋体"/>
                <w:color w:val="000000"/>
                <w:kern w:val="0"/>
                <w:sz w:val="44"/>
                <w:szCs w:val="44"/>
              </w:rPr>
              <w:t>1</w:t>
            </w:r>
            <w:r>
              <w:rPr>
                <w:rFonts w:hint="eastAsia" w:ascii="方正小标宋简体" w:hAnsi="宋体" w:eastAsia="方正小标宋简体" w:cs="宋体"/>
                <w:color w:val="000000"/>
                <w:kern w:val="0"/>
                <w:sz w:val="44"/>
                <w:szCs w:val="44"/>
              </w:rPr>
              <w:t>年椒江区粮食生产考核任务表</w:t>
            </w:r>
          </w:p>
        </w:tc>
      </w:tr>
      <w:tr>
        <w:tblPrEx>
          <w:tblCellMar>
            <w:top w:w="0" w:type="dxa"/>
            <w:left w:w="108" w:type="dxa"/>
            <w:bottom w:w="0" w:type="dxa"/>
            <w:right w:w="108" w:type="dxa"/>
          </w:tblCellMar>
        </w:tblPrEx>
        <w:trPr>
          <w:trHeight w:val="799" w:hRule="atLeast"/>
        </w:trPr>
        <w:tc>
          <w:tcPr>
            <w:tcW w:w="8517" w:type="dxa"/>
            <w:gridSpan w:val="5"/>
            <w:tcBorders>
              <w:top w:val="nil"/>
              <w:left w:val="nil"/>
              <w:bottom w:val="single" w:color="auto" w:sz="4" w:space="0"/>
              <w:right w:val="nil"/>
            </w:tcBorders>
            <w:noWrap/>
            <w:vAlign w:val="center"/>
          </w:tcPr>
          <w:p>
            <w:pPr>
              <w:widowControl/>
              <w:jc w:val="righ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单位：亩、吨</w:t>
            </w:r>
          </w:p>
        </w:tc>
      </w:tr>
      <w:tr>
        <w:tblPrEx>
          <w:tblCellMar>
            <w:top w:w="0" w:type="dxa"/>
            <w:left w:w="108" w:type="dxa"/>
            <w:bottom w:w="0" w:type="dxa"/>
            <w:right w:w="108" w:type="dxa"/>
          </w:tblCellMar>
        </w:tblPrEx>
        <w:trPr>
          <w:trHeight w:val="995" w:hRule="atLeast"/>
        </w:trPr>
        <w:tc>
          <w:tcPr>
            <w:tcW w:w="184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街  道</w:t>
            </w:r>
          </w:p>
        </w:tc>
        <w:tc>
          <w:tcPr>
            <w:tcW w:w="6672" w:type="dxa"/>
            <w:gridSpan w:val="4"/>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粮食生产考核指标</w:t>
            </w:r>
          </w:p>
        </w:tc>
      </w:tr>
      <w:tr>
        <w:tblPrEx>
          <w:tblCellMar>
            <w:top w:w="0" w:type="dxa"/>
            <w:left w:w="108" w:type="dxa"/>
            <w:bottom w:w="0" w:type="dxa"/>
            <w:right w:w="108" w:type="dxa"/>
          </w:tblCellMar>
        </w:tblPrEx>
        <w:trPr>
          <w:trHeight w:val="732" w:hRule="atLeast"/>
        </w:trPr>
        <w:tc>
          <w:tcPr>
            <w:tcW w:w="1845" w:type="dxa"/>
            <w:vMerge w:val="continue"/>
            <w:tcBorders>
              <w:top w:val="nil"/>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32"/>
                <w:szCs w:val="32"/>
              </w:rPr>
            </w:pPr>
          </w:p>
        </w:tc>
        <w:tc>
          <w:tcPr>
            <w:tcW w:w="1668" w:type="dxa"/>
            <w:vMerge w:val="restart"/>
            <w:tcBorders>
              <w:top w:val="nil"/>
              <w:left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播种面积</w:t>
            </w:r>
          </w:p>
        </w:tc>
        <w:tc>
          <w:tcPr>
            <w:tcW w:w="1668" w:type="dxa"/>
            <w:vMerge w:val="restart"/>
            <w:tcBorders>
              <w:top w:val="nil"/>
              <w:left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总产量</w:t>
            </w:r>
          </w:p>
        </w:tc>
        <w:tc>
          <w:tcPr>
            <w:tcW w:w="3336" w:type="dxa"/>
            <w:gridSpan w:val="2"/>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其中</w:t>
            </w:r>
          </w:p>
        </w:tc>
      </w:tr>
      <w:tr>
        <w:tblPrEx>
          <w:tblCellMar>
            <w:top w:w="0" w:type="dxa"/>
            <w:left w:w="108" w:type="dxa"/>
            <w:bottom w:w="0" w:type="dxa"/>
            <w:right w:w="108" w:type="dxa"/>
          </w:tblCellMar>
        </w:tblPrEx>
        <w:trPr>
          <w:trHeight w:val="698" w:hRule="atLeast"/>
        </w:trPr>
        <w:tc>
          <w:tcPr>
            <w:tcW w:w="1845" w:type="dxa"/>
            <w:vMerge w:val="continue"/>
            <w:tcBorders>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32"/>
                <w:szCs w:val="32"/>
              </w:rPr>
            </w:pPr>
          </w:p>
        </w:tc>
        <w:tc>
          <w:tcPr>
            <w:tcW w:w="1668"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p>
        </w:tc>
        <w:tc>
          <w:tcPr>
            <w:tcW w:w="1668"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32"/>
                <w:szCs w:val="32"/>
              </w:rPr>
            </w:pPr>
          </w:p>
        </w:tc>
        <w:tc>
          <w:tcPr>
            <w:tcW w:w="1668"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早稻面积</w:t>
            </w:r>
          </w:p>
        </w:tc>
        <w:tc>
          <w:tcPr>
            <w:tcW w:w="1668"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晚稻面积</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海门街道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350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hint="eastAsia" w:ascii="仿宋_GB2312" w:hAnsi="宋体" w:eastAsia="仿宋_GB2312" w:cs="仿宋_GB2312"/>
                <w:color w:val="000000"/>
                <w:kern w:val="0"/>
                <w:sz w:val="32"/>
                <w:szCs w:val="32"/>
              </w:rPr>
              <w:t>200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400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白云街道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200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葭</w:t>
            </w:r>
            <w:r>
              <w:rPr>
                <w:rFonts w:hint="eastAsia" w:ascii="宋体" w:hAnsi="宋体" w:cs="宋体"/>
                <w:color w:val="000000"/>
                <w:kern w:val="0"/>
                <w:sz w:val="32"/>
                <w:szCs w:val="32"/>
              </w:rPr>
              <w:t>沚</w:t>
            </w:r>
            <w:r>
              <w:rPr>
                <w:rFonts w:hint="eastAsia" w:ascii="仿宋_GB2312" w:hAnsi="宋体" w:eastAsia="仿宋_GB2312" w:cs="宋体"/>
                <w:color w:val="000000"/>
                <w:kern w:val="0"/>
                <w:sz w:val="32"/>
                <w:szCs w:val="32"/>
              </w:rPr>
              <w:t>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550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500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洪家街道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9500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hint="eastAsia" w:ascii="仿宋_GB2312" w:hAnsi="宋体" w:eastAsia="仿宋_GB2312" w:cs="仿宋_GB2312"/>
                <w:color w:val="000000"/>
                <w:kern w:val="0"/>
                <w:sz w:val="32"/>
                <w:szCs w:val="32"/>
              </w:rPr>
              <w:t>1</w:t>
            </w:r>
            <w:r>
              <w:rPr>
                <w:rFonts w:ascii="仿宋_GB2312" w:hAnsi="宋体" w:eastAsia="仿宋_GB2312" w:cs="仿宋_GB2312"/>
                <w:color w:val="000000"/>
                <w:kern w:val="0"/>
                <w:sz w:val="32"/>
                <w:szCs w:val="32"/>
              </w:rPr>
              <w:t>150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3600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下陈街道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8000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ascii="仿宋_GB2312" w:hAnsi="宋体" w:eastAsia="仿宋_GB2312" w:cs="仿宋_GB2312"/>
                <w:color w:val="000000"/>
                <w:kern w:val="0"/>
                <w:sz w:val="32"/>
                <w:szCs w:val="32"/>
              </w:rPr>
              <w:t>2250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4000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前所街道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15000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ascii="仿宋_GB2312" w:hAnsi="宋体" w:eastAsia="仿宋_GB2312" w:cs="仿宋_GB2312"/>
                <w:color w:val="000000"/>
                <w:kern w:val="0"/>
                <w:sz w:val="32"/>
                <w:szCs w:val="32"/>
              </w:rPr>
              <w:t>5500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4200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章安街道</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78</w:t>
            </w:r>
            <w:r>
              <w:rPr>
                <w:rFonts w:hint="eastAsia"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ascii="仿宋_GB2312" w:hAnsi="宋体" w:eastAsia="仿宋_GB2312" w:cs="宋体"/>
                <w:color w:val="000000"/>
                <w:kern w:val="0"/>
                <w:sz w:val="32"/>
                <w:szCs w:val="32"/>
              </w:rPr>
            </w:pPr>
            <w:r>
              <w:rPr>
                <w:rFonts w:ascii="仿宋_GB2312" w:hAnsi="宋体" w:eastAsia="仿宋_GB2312" w:cs="仿宋_GB2312"/>
                <w:color w:val="000000"/>
                <w:kern w:val="0"/>
                <w:sz w:val="32"/>
                <w:szCs w:val="32"/>
              </w:rPr>
              <w:t>8</w:t>
            </w:r>
            <w:r>
              <w:rPr>
                <w:rFonts w:hint="eastAsia" w:ascii="仿宋_GB2312" w:hAnsi="宋体" w:eastAsia="仿宋_GB2312" w:cs="仿宋_GB2312"/>
                <w:color w:val="000000"/>
                <w:kern w:val="0"/>
                <w:sz w:val="32"/>
                <w:szCs w:val="32"/>
                <w:lang w:val="en-US" w:eastAsia="zh-CN"/>
              </w:rPr>
              <w:t>4</w:t>
            </w:r>
            <w:r>
              <w:rPr>
                <w:rFonts w:hint="eastAsia" w:ascii="仿宋_GB2312" w:hAnsi="宋体" w:eastAsia="仿宋_GB2312" w:cs="仿宋_GB2312"/>
                <w:color w:val="000000"/>
                <w:kern w:val="0"/>
                <w:sz w:val="32"/>
                <w:szCs w:val="32"/>
              </w:rPr>
              <w:t>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000000"/>
                <w:kern w:val="0"/>
                <w:sz w:val="32"/>
                <w:szCs w:val="32"/>
                <w:lang w:val="en-US" w:eastAsia="zh-CN"/>
              </w:rPr>
            </w:pPr>
            <w:r>
              <w:rPr>
                <w:rFonts w:hint="default" w:ascii="仿宋_GB2312" w:hAnsi="宋体" w:eastAsia="仿宋_GB2312" w:cs="仿宋_GB2312"/>
                <w:color w:val="000000"/>
                <w:kern w:val="0"/>
                <w:sz w:val="32"/>
                <w:szCs w:val="32"/>
                <w:lang w:val="en-US" w:eastAsia="zh-CN"/>
              </w:rPr>
              <w:t>8600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auto"/>
              <w:rPr>
                <w:rFonts w:hint="eastAsia" w:ascii="仿宋_GB2312" w:hAnsi="宋体" w:eastAsia="仿宋_GB2312" w:cs="宋体"/>
                <w:color w:val="000000"/>
                <w:kern w:val="0"/>
                <w:sz w:val="32"/>
                <w:szCs w:val="32"/>
                <w:lang w:eastAsia="zh-CN"/>
              </w:rPr>
            </w:pPr>
            <w:r>
              <w:rPr>
                <w:rFonts w:hint="eastAsia" w:ascii="仿宋_GB2312" w:eastAsia="仿宋_GB2312"/>
                <w:color w:val="000000"/>
                <w:kern w:val="0"/>
                <w:sz w:val="32"/>
                <w:szCs w:val="32"/>
                <w:lang w:eastAsia="zh-CN"/>
              </w:rPr>
              <w:t>台州湾新区</w:t>
            </w:r>
            <w:r>
              <w:rPr>
                <w:rFonts w:hint="eastAsia" w:ascii="仿宋_GB2312" w:eastAsia="仿宋_GB2312"/>
                <w:color w:val="000000"/>
                <w:spacing w:val="-28"/>
                <w:kern w:val="0"/>
                <w:sz w:val="32"/>
                <w:szCs w:val="32"/>
                <w:lang w:eastAsia="zh-CN"/>
              </w:rPr>
              <w:t>（</w:t>
            </w:r>
            <w:r>
              <w:rPr>
                <w:rFonts w:hint="eastAsia" w:ascii="仿宋_GB2312" w:hAnsi="宋体" w:eastAsia="仿宋_GB2312" w:cs="宋体"/>
                <w:color w:val="000000"/>
                <w:spacing w:val="-28"/>
                <w:kern w:val="0"/>
                <w:sz w:val="32"/>
                <w:szCs w:val="32"/>
                <w:lang w:eastAsia="zh-CN"/>
              </w:rPr>
              <w:t>三甲街道）</w:t>
            </w:r>
          </w:p>
        </w:tc>
        <w:tc>
          <w:tcPr>
            <w:tcW w:w="1668" w:type="dxa"/>
            <w:tcBorders>
              <w:top w:val="nil"/>
              <w:left w:val="nil"/>
              <w:bottom w:val="single" w:color="auto" w:sz="4" w:space="0"/>
              <w:right w:val="single" w:color="auto" w:sz="4" w:space="0"/>
            </w:tcBorders>
            <w:noWrap/>
            <w:vAlign w:val="center"/>
          </w:tcPr>
          <w:p>
            <w:pPr>
              <w:widowControl/>
              <w:jc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16500</w:t>
            </w:r>
          </w:p>
        </w:tc>
        <w:tc>
          <w:tcPr>
            <w:tcW w:w="1668" w:type="dxa"/>
            <w:tcBorders>
              <w:top w:val="nil"/>
              <w:left w:val="nil"/>
              <w:bottom w:val="single" w:color="auto" w:sz="4" w:space="0"/>
              <w:right w:val="single" w:color="auto" w:sz="4" w:space="0"/>
            </w:tcBorders>
            <w:noWrap/>
            <w:vAlign w:val="center"/>
          </w:tcPr>
          <w:p>
            <w:pPr>
              <w:widowControl/>
              <w:jc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6300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2400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4800</w:t>
            </w:r>
          </w:p>
        </w:tc>
      </w:tr>
      <w:tr>
        <w:tblPrEx>
          <w:tblCellMar>
            <w:top w:w="0" w:type="dxa"/>
            <w:left w:w="108" w:type="dxa"/>
            <w:bottom w:w="0" w:type="dxa"/>
            <w:right w:w="108" w:type="dxa"/>
          </w:tblCellMar>
        </w:tblPrEx>
        <w:trPr>
          <w:trHeight w:val="794" w:hRule="atLeast"/>
        </w:trPr>
        <w:tc>
          <w:tcPr>
            <w:tcW w:w="184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  计</w:t>
            </w:r>
          </w:p>
        </w:tc>
        <w:tc>
          <w:tcPr>
            <w:tcW w:w="1668" w:type="dxa"/>
            <w:tcBorders>
              <w:top w:val="nil"/>
              <w:left w:val="nil"/>
              <w:bottom w:val="single" w:color="auto" w:sz="4" w:space="0"/>
              <w:right w:val="single" w:color="auto" w:sz="4" w:space="0"/>
            </w:tcBorders>
            <w:noWrap/>
            <w:vAlign w:val="center"/>
          </w:tcPr>
          <w:p>
            <w:pPr>
              <w:widowControl/>
              <w:jc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72500</w:t>
            </w:r>
          </w:p>
        </w:tc>
        <w:tc>
          <w:tcPr>
            <w:tcW w:w="1668"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259</w:t>
            </w:r>
            <w:r>
              <w:rPr>
                <w:rFonts w:ascii="仿宋_GB2312" w:hAnsi="宋体" w:eastAsia="仿宋_GB2312" w:cs="宋体"/>
                <w:color w:val="000000"/>
                <w:kern w:val="0"/>
                <w:sz w:val="32"/>
                <w:szCs w:val="32"/>
              </w:rPr>
              <w:t>00</w:t>
            </w:r>
          </w:p>
        </w:tc>
        <w:tc>
          <w:tcPr>
            <w:tcW w:w="1668" w:type="dxa"/>
            <w:tcBorders>
              <w:top w:val="nil"/>
              <w:left w:val="nil"/>
              <w:bottom w:val="single" w:color="auto" w:sz="4" w:space="0"/>
              <w:right w:val="single" w:color="auto" w:sz="4" w:space="0"/>
            </w:tcBorders>
            <w:noWrap/>
            <w:vAlign w:val="center"/>
          </w:tcPr>
          <w:p>
            <w:pPr>
              <w:widowControl/>
              <w:jc w:val="center"/>
              <w:textAlignment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20400</w:t>
            </w:r>
          </w:p>
        </w:tc>
        <w:tc>
          <w:tcPr>
            <w:tcW w:w="1668"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26300</w:t>
            </w:r>
          </w:p>
        </w:tc>
      </w:tr>
    </w:tbl>
    <w:p>
      <w:pPr>
        <w:widowControl/>
        <w:shd w:val="clear" w:color="auto" w:fill="FFFFFF"/>
        <w:spacing w:line="540" w:lineRule="exact"/>
        <w:rPr>
          <w:rFonts w:hint="eastAsia" w:ascii="仿宋_GB2312" w:eastAsia="仿宋_GB2312"/>
          <w:color w:val="000000"/>
          <w:kern w:val="0"/>
          <w:sz w:val="32"/>
          <w:szCs w:val="32"/>
          <w:lang w:eastAsia="zh-CN"/>
        </w:rPr>
      </w:pPr>
    </w:p>
    <w:p>
      <w:pPr>
        <w:bidi w:val="0"/>
        <w:rPr>
          <w:rFonts w:hint="eastAsia" w:ascii="Times New Roman" w:hAnsi="Times New Roman" w:eastAsia="宋体" w:cs="Times New Roman"/>
          <w:kern w:val="2"/>
          <w:sz w:val="21"/>
          <w:szCs w:val="24"/>
          <w:lang w:val="en-US" w:eastAsia="zh-CN" w:bidi="ar-SA"/>
        </w:rPr>
      </w:pPr>
    </w:p>
    <w:p>
      <w:pPr>
        <w:tabs>
          <w:tab w:val="left" w:pos="1140"/>
        </w:tabs>
        <w:bidi w:val="0"/>
        <w:jc w:val="left"/>
        <w:rPr>
          <w:rFonts w:hint="eastAsia"/>
          <w:lang w:val="en-US" w:eastAsia="zh-CN"/>
        </w:rPr>
      </w:pPr>
      <w:r>
        <w:rPr>
          <w:rFonts w:hint="eastAsia"/>
          <w:lang w:val="en-US" w:eastAsia="zh-CN"/>
        </w:rPr>
        <w:tab/>
      </w:r>
    </w:p>
    <w:sectPr>
      <w:headerReference r:id="rId3" w:type="default"/>
      <w:footerReference r:id="rId4" w:type="default"/>
      <w:footerReference r:id="rId5" w:type="even"/>
      <w:pgSz w:w="11906" w:h="16838"/>
      <w:pgMar w:top="1701" w:right="1531" w:bottom="1588" w:left="1531" w:header="851"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7" w:y="-983"/>
      <w:rPr>
        <w:rStyle w:val="9"/>
        <w:b/>
        <w:bCs/>
        <w:sz w:val="24"/>
        <w:szCs w:val="24"/>
      </w:rPr>
    </w:pPr>
  </w:p>
  <w:p>
    <w:pPr>
      <w:pStyle w:val="2"/>
      <w:tabs>
        <w:tab w:val="left" w:pos="8505"/>
      </w:tabs>
      <w:ind w:right="44" w:rightChars="21" w:firstLine="7840" w:firstLineChars="2800"/>
      <w:rPr>
        <w:rFonts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ind w:firstLine="350" w:firstLineChars="125"/>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0C2C"/>
    <w:multiLevelType w:val="singleLevel"/>
    <w:tmpl w:val="23740C2C"/>
    <w:lvl w:ilvl="0" w:tentative="0">
      <w:start w:val="4"/>
      <w:numFmt w:val="chineseCounting"/>
      <w:suff w:val="nothing"/>
      <w:lvlText w:val="%1、"/>
      <w:lvlJc w:val="left"/>
      <w:rPr>
        <w:rFonts w:hint="eastAsia"/>
      </w:rPr>
    </w:lvl>
  </w:abstractNum>
  <w:abstractNum w:abstractNumId="1">
    <w:nsid w:val="3B0BD14C"/>
    <w:multiLevelType w:val="singleLevel"/>
    <w:tmpl w:val="3B0BD14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90248"/>
    <w:rsid w:val="001D7B33"/>
    <w:rsid w:val="006E2D5D"/>
    <w:rsid w:val="00710D44"/>
    <w:rsid w:val="0079701A"/>
    <w:rsid w:val="007D69E3"/>
    <w:rsid w:val="00B461A6"/>
    <w:rsid w:val="00C54D46"/>
    <w:rsid w:val="00D9202B"/>
    <w:rsid w:val="00F21D58"/>
    <w:rsid w:val="0F07533B"/>
    <w:rsid w:val="117877E8"/>
    <w:rsid w:val="1F331355"/>
    <w:rsid w:val="2E0E2D76"/>
    <w:rsid w:val="2F4C45CC"/>
    <w:rsid w:val="3DE940B0"/>
    <w:rsid w:val="4AA16D1A"/>
    <w:rsid w:val="5FF331A4"/>
    <w:rsid w:val="61A834B4"/>
    <w:rsid w:val="660843C8"/>
    <w:rsid w:val="67690248"/>
    <w:rsid w:val="6A733AC2"/>
    <w:rsid w:val="6FAC7E1D"/>
    <w:rsid w:val="7C5D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560" w:lineRule="exact"/>
      <w:ind w:firstLine="640" w:firstLineChars="200"/>
    </w:pPr>
    <w:rPr>
      <w:rFonts w:ascii="仿宋_GB2312" w:eastAsia="仿宋_GB2312"/>
      <w:sz w:val="32"/>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427</Words>
  <Characters>2435</Characters>
  <Lines>20</Lines>
  <Paragraphs>5</Paragraphs>
  <TotalTime>12</TotalTime>
  <ScaleCrop>false</ScaleCrop>
  <LinksUpToDate>false</LinksUpToDate>
  <CharactersWithSpaces>2857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2021-01-12T02:06:00Z</dcterms:created>
  <dc:creator>椒江</dc:creator>
  <cp:lastModifiedBy>椒江</cp:lastModifiedBy>
  <cp:lastPrinted>2021-01-21T03:02:00Z</cp:lastPrinted>
  <dcterms:modified xsi:type="dcterms:W3CDTF">2021-01-22T00:17:35Z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