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eastAsia="黑体" w:cs="黑体"/>
          <w:b/>
          <w:bCs/>
          <w:sz w:val="44"/>
          <w:szCs w:val="44"/>
        </w:rPr>
      </w:pPr>
      <w:r>
        <w:rPr>
          <w:rFonts w:hint="eastAsia" w:ascii="黑体" w:eastAsia="黑体" w:cs="黑体"/>
          <w:b/>
          <w:bCs/>
          <w:sz w:val="44"/>
          <w:szCs w:val="44"/>
        </w:rPr>
        <w:t>国网台州市椒江区供电公司</w:t>
      </w:r>
    </w:p>
    <w:p>
      <w:pPr>
        <w:spacing w:line="560" w:lineRule="exact"/>
        <w:jc w:val="center"/>
        <w:rPr>
          <w:rFonts w:hint="eastAsia" w:ascii="黑体" w:eastAsia="黑体" w:cs="黑体"/>
          <w:b/>
          <w:bCs/>
          <w:sz w:val="44"/>
          <w:szCs w:val="44"/>
        </w:rPr>
      </w:pPr>
      <w:r>
        <w:rPr>
          <w:rFonts w:hint="eastAsia" w:ascii="黑体" w:eastAsia="黑体" w:cs="黑体"/>
          <w:b/>
          <w:bCs/>
          <w:sz w:val="44"/>
          <w:szCs w:val="44"/>
        </w:rPr>
        <w:t>202</w:t>
      </w:r>
      <w:r>
        <w:rPr>
          <w:rFonts w:hint="eastAsia" w:ascii="黑体" w:eastAsia="黑体" w:cs="黑体"/>
          <w:b/>
          <w:bCs/>
          <w:sz w:val="44"/>
          <w:szCs w:val="44"/>
          <w:lang w:val="en-US" w:eastAsia="zh-CN"/>
        </w:rPr>
        <w:t>2</w:t>
      </w:r>
      <w:r>
        <w:rPr>
          <w:rFonts w:hint="eastAsia" w:ascii="黑体" w:eastAsia="黑体" w:cs="黑体"/>
          <w:b/>
          <w:bCs/>
          <w:sz w:val="44"/>
          <w:szCs w:val="44"/>
        </w:rPr>
        <w:t>年信息公开工作年度报告</w:t>
      </w:r>
    </w:p>
    <w:p>
      <w:pPr>
        <w:spacing w:line="560" w:lineRule="exact"/>
        <w:jc w:val="center"/>
        <w:rPr>
          <w:rFonts w:hint="eastAsia" w:ascii="楷体_GB2312" w:eastAsia="楷体_GB2312" w:cs="楷体_GB2312"/>
          <w:b/>
          <w:bCs/>
          <w:sz w:val="32"/>
          <w:szCs w:val="32"/>
        </w:rPr>
      </w:pPr>
      <w:r>
        <w:rPr>
          <w:rFonts w:hint="eastAsia" w:ascii="楷体_GB2312" w:eastAsia="楷体_GB2312" w:cs="楷体_GB2312"/>
          <w:b/>
          <w:bCs/>
          <w:sz w:val="32"/>
          <w:szCs w:val="32"/>
        </w:rPr>
        <w:t>（</w:t>
      </w:r>
      <w:r>
        <w:rPr>
          <w:rFonts w:ascii="楷体_GB2312" w:eastAsia="楷体_GB2312" w:cs="楷体_GB2312"/>
          <w:b/>
          <w:bCs/>
          <w:sz w:val="32"/>
          <w:szCs w:val="32"/>
        </w:rPr>
        <w:t>20</w:t>
      </w:r>
      <w:r>
        <w:rPr>
          <w:rFonts w:hint="eastAsia" w:ascii="楷体_GB2312" w:eastAsia="楷体_GB2312" w:cs="楷体_GB2312"/>
          <w:b/>
          <w:bCs/>
          <w:sz w:val="32"/>
          <w:szCs w:val="32"/>
        </w:rPr>
        <w:t>2</w:t>
      </w:r>
      <w:r>
        <w:rPr>
          <w:rFonts w:hint="eastAsia" w:ascii="楷体_GB2312" w:eastAsia="楷体_GB2312" w:cs="楷体_GB2312"/>
          <w:b/>
          <w:bCs/>
          <w:sz w:val="32"/>
          <w:szCs w:val="32"/>
          <w:lang w:val="en-US" w:eastAsia="zh-CN"/>
        </w:rPr>
        <w:t>3</w:t>
      </w:r>
      <w:r>
        <w:rPr>
          <w:rFonts w:hint="eastAsia" w:ascii="楷体_GB2312" w:eastAsia="楷体_GB2312" w:cs="楷体_GB2312"/>
          <w:b/>
          <w:bCs/>
          <w:sz w:val="32"/>
          <w:szCs w:val="32"/>
        </w:rPr>
        <w:t>年</w:t>
      </w:r>
      <w:r>
        <w:rPr>
          <w:rFonts w:hint="eastAsia" w:ascii="楷体_GB2312" w:eastAsia="楷体_GB2312" w:cs="楷体_GB2312"/>
          <w:b/>
          <w:bCs/>
          <w:sz w:val="32"/>
          <w:szCs w:val="32"/>
          <w:lang w:val="en-US" w:eastAsia="zh-CN"/>
        </w:rPr>
        <w:t>1</w:t>
      </w:r>
      <w:r>
        <w:rPr>
          <w:rFonts w:hint="eastAsia" w:ascii="楷体_GB2312" w:eastAsia="楷体_GB2312" w:cs="楷体_GB2312"/>
          <w:b/>
          <w:bCs/>
          <w:sz w:val="32"/>
          <w:szCs w:val="32"/>
        </w:rPr>
        <w:t>月</w:t>
      </w:r>
      <w:r>
        <w:rPr>
          <w:rFonts w:hint="eastAsia" w:ascii="楷体_GB2312" w:eastAsia="楷体_GB2312" w:cs="楷体_GB2312"/>
          <w:b/>
          <w:bCs/>
          <w:sz w:val="32"/>
          <w:szCs w:val="32"/>
          <w:lang w:val="en-US" w:eastAsia="zh-CN"/>
        </w:rPr>
        <w:t>17</w:t>
      </w:r>
      <w:r>
        <w:rPr>
          <w:rFonts w:hint="eastAsia" w:ascii="楷体_GB2312" w:eastAsia="楷体_GB2312" w:cs="楷体_GB2312"/>
          <w:b/>
          <w:bCs/>
          <w:sz w:val="32"/>
          <w:szCs w:val="32"/>
        </w:rPr>
        <w:t>日）</w:t>
      </w:r>
      <w:bookmarkStart w:id="0" w:name="_GoBack"/>
      <w:bookmarkEnd w:id="0"/>
    </w:p>
    <w:p>
      <w:pPr>
        <w:spacing w:line="560" w:lineRule="exact"/>
        <w:jc w:val="center"/>
        <w:rPr>
          <w:rFonts w:hint="eastAsia" w:ascii="仿宋_GB2312" w:eastAsia="仿宋_GB2312" w:cs="仿宋_GB2312"/>
          <w:i w:val="0"/>
          <w:iCs w:val="0"/>
          <w:color w:val="auto"/>
          <w:sz w:val="32"/>
          <w:szCs w:val="32"/>
        </w:rPr>
      </w:pPr>
      <w:r>
        <w:rPr>
          <w:rFonts w:hint="eastAsia" w:ascii="楷体_GB2312" w:eastAsia="楷体_GB2312" w:cs="楷体_GB2312"/>
          <w:b/>
          <w:bCs/>
          <w:i w:val="0"/>
          <w:iCs w:val="0"/>
          <w:color w:val="auto"/>
          <w:sz w:val="32"/>
          <w:szCs w:val="32"/>
          <w:lang w:eastAsia="zh-CN"/>
        </w:rPr>
        <w:t>国网浙江省电力有限公司台州市椒江区供电公司</w:t>
      </w:r>
    </w:p>
    <w:p>
      <w:pPr>
        <w:pStyle w:val="5"/>
        <w:shd w:val="clear" w:color="auto" w:fill="FFFFFF"/>
        <w:spacing w:before="0" w:beforeAutospacing="0" w:after="0" w:afterAutospacing="0"/>
        <w:ind w:firstLine="480"/>
        <w:jc w:val="both"/>
        <w:rPr>
          <w:rFonts w:hint="eastAsia" w:ascii="仿宋_GB2312" w:eastAsia="仿宋_GB2312"/>
          <w:color w:val="333333"/>
          <w:sz w:val="30"/>
          <w:szCs w:val="30"/>
        </w:rPr>
      </w:pPr>
      <w:r>
        <w:rPr>
          <w:rFonts w:hint="eastAsia" w:ascii="仿宋_GB2312" w:eastAsia="仿宋_GB2312"/>
          <w:b/>
          <w:bCs/>
          <w:color w:val="333333"/>
          <w:sz w:val="30"/>
          <w:szCs w:val="30"/>
        </w:rPr>
        <w:t>一、报告内容</w:t>
      </w:r>
    </w:p>
    <w:p>
      <w:pPr>
        <w:pStyle w:val="5"/>
        <w:shd w:val="clear" w:color="auto" w:fill="FFFFFF"/>
        <w:spacing w:before="0" w:beforeAutospacing="0" w:after="0" w:afterAutospacing="0"/>
        <w:ind w:firstLine="480"/>
        <w:jc w:val="both"/>
        <w:rPr>
          <w:rFonts w:hint="eastAsia" w:ascii="仿宋_GB2312" w:eastAsia="仿宋_GB2312"/>
          <w:color w:val="333333"/>
          <w:sz w:val="30"/>
          <w:szCs w:val="30"/>
        </w:rPr>
      </w:pPr>
      <w:r>
        <w:rPr>
          <w:rFonts w:hint="default" w:ascii="仿宋_GB2312" w:eastAsia="仿宋_GB2312"/>
          <w:color w:val="333333"/>
          <w:sz w:val="30"/>
          <w:szCs w:val="30"/>
        </w:rPr>
        <w:t>根据《中华人民共和国政府信息公开条例》（以下简称《条例》）和《浙江省政府信息公开暂行办法》（以下简称《暂行办法》）规定，特向社会公布国网浙江省电力有限公司台州市椒江区供电公司202</w:t>
      </w:r>
      <w:r>
        <w:rPr>
          <w:rFonts w:hint="eastAsia" w:ascii="仿宋_GB2312" w:eastAsia="仿宋_GB2312"/>
          <w:color w:val="333333"/>
          <w:sz w:val="30"/>
          <w:szCs w:val="30"/>
          <w:lang w:val="en-US" w:eastAsia="zh-CN"/>
        </w:rPr>
        <w:t>2</w:t>
      </w:r>
      <w:r>
        <w:rPr>
          <w:rFonts w:hint="default" w:ascii="仿宋_GB2312" w:eastAsia="仿宋_GB2312"/>
          <w:color w:val="333333"/>
          <w:sz w:val="30"/>
          <w:szCs w:val="30"/>
        </w:rPr>
        <w:t>年度报告。全文包括：总体情况</w:t>
      </w:r>
      <w:r>
        <w:rPr>
          <w:rFonts w:hint="eastAsia" w:ascii="仿宋_GB2312" w:eastAsia="仿宋_GB2312"/>
          <w:color w:val="333333"/>
          <w:sz w:val="30"/>
          <w:szCs w:val="30"/>
          <w:lang w:eastAsia="zh-CN"/>
        </w:rPr>
        <w:t>，</w:t>
      </w:r>
      <w:r>
        <w:rPr>
          <w:rFonts w:hint="default" w:ascii="仿宋_GB2312" w:eastAsia="仿宋_GB2312"/>
          <w:color w:val="333333"/>
          <w:sz w:val="30"/>
          <w:szCs w:val="30"/>
        </w:rPr>
        <w:t>主动公开政府信息情况</w:t>
      </w:r>
      <w:r>
        <w:rPr>
          <w:rFonts w:hint="eastAsia" w:ascii="仿宋_GB2312" w:eastAsia="仿宋_GB2312"/>
          <w:color w:val="333333"/>
          <w:sz w:val="30"/>
          <w:szCs w:val="30"/>
          <w:lang w:eastAsia="zh-CN"/>
        </w:rPr>
        <w:t>，</w:t>
      </w:r>
      <w:r>
        <w:rPr>
          <w:rFonts w:hint="default" w:ascii="仿宋_GB2312" w:eastAsia="仿宋_GB2312"/>
          <w:color w:val="333333"/>
          <w:sz w:val="30"/>
          <w:szCs w:val="30"/>
        </w:rPr>
        <w:t>收到和处理政府信息公开申请情况</w:t>
      </w:r>
      <w:r>
        <w:rPr>
          <w:rFonts w:hint="eastAsia" w:ascii="仿宋_GB2312" w:eastAsia="仿宋_GB2312"/>
          <w:color w:val="333333"/>
          <w:sz w:val="30"/>
          <w:szCs w:val="30"/>
          <w:lang w:eastAsia="zh-CN"/>
        </w:rPr>
        <w:t>，</w:t>
      </w:r>
      <w:r>
        <w:rPr>
          <w:rFonts w:hint="default" w:ascii="仿宋_GB2312" w:eastAsia="仿宋_GB2312"/>
          <w:color w:val="333333"/>
          <w:sz w:val="30"/>
          <w:szCs w:val="30"/>
        </w:rPr>
        <w:t>政府信息公开工作被申请行政复议、提起行政诉讼情况，政府信息公开存在主要问题及改进情况和其他需要报告的事项。本年度报告中所列数据的统计期限从202</w:t>
      </w:r>
      <w:r>
        <w:rPr>
          <w:rFonts w:hint="eastAsia" w:ascii="仿宋_GB2312" w:eastAsia="仿宋_GB2312"/>
          <w:color w:val="333333"/>
          <w:sz w:val="30"/>
          <w:szCs w:val="30"/>
          <w:lang w:val="en-US" w:eastAsia="zh-CN"/>
        </w:rPr>
        <w:t>2</w:t>
      </w:r>
      <w:r>
        <w:rPr>
          <w:rFonts w:hint="default" w:ascii="仿宋_GB2312" w:eastAsia="仿宋_GB2312"/>
          <w:color w:val="333333"/>
          <w:sz w:val="30"/>
          <w:szCs w:val="30"/>
        </w:rPr>
        <w:t>年1月1日起到202</w:t>
      </w:r>
      <w:r>
        <w:rPr>
          <w:rFonts w:hint="eastAsia" w:ascii="仿宋_GB2312" w:eastAsia="仿宋_GB2312"/>
          <w:color w:val="333333"/>
          <w:sz w:val="30"/>
          <w:szCs w:val="30"/>
          <w:lang w:val="en-US" w:eastAsia="zh-CN"/>
        </w:rPr>
        <w:t>2</w:t>
      </w:r>
      <w:r>
        <w:rPr>
          <w:rFonts w:hint="default" w:ascii="仿宋_GB2312" w:eastAsia="仿宋_GB2312"/>
          <w:color w:val="333333"/>
          <w:sz w:val="30"/>
          <w:szCs w:val="30"/>
        </w:rPr>
        <w:t>年12月31日止。如对本报告有任何疑问，请与国网浙江省电力有限公司台州市椒江区供电公司办公室联系（地址：台州市椒江区工人东路380号，邮编：318000，联系电话：0576—88878842）。</w:t>
      </w:r>
    </w:p>
    <w:p>
      <w:pPr>
        <w:pStyle w:val="5"/>
        <w:shd w:val="clear" w:color="auto" w:fill="FFFFFF"/>
        <w:spacing w:before="0" w:beforeAutospacing="0" w:after="0" w:afterAutospacing="0"/>
        <w:ind w:firstLine="480"/>
        <w:jc w:val="both"/>
        <w:rPr>
          <w:rFonts w:hint="eastAsia" w:ascii="仿宋_GB2312" w:eastAsia="仿宋_GB2312"/>
          <w:b/>
          <w:color w:val="333333"/>
          <w:sz w:val="30"/>
          <w:szCs w:val="30"/>
        </w:rPr>
      </w:pPr>
      <w:r>
        <w:rPr>
          <w:rFonts w:hint="eastAsia" w:ascii="仿宋_GB2312" w:hAnsi="楷体" w:eastAsia="仿宋_GB2312"/>
          <w:b/>
          <w:color w:val="333333"/>
          <w:sz w:val="30"/>
          <w:szCs w:val="30"/>
        </w:rPr>
        <w:t>（一）总体情况。</w:t>
      </w:r>
    </w:p>
    <w:p>
      <w:pPr>
        <w:pStyle w:val="5"/>
        <w:shd w:val="clear" w:color="auto" w:fill="FFFFFF"/>
        <w:spacing w:before="0" w:beforeAutospacing="0" w:after="0" w:afterAutospacing="0"/>
        <w:ind w:firstLine="480"/>
        <w:jc w:val="both"/>
        <w:rPr>
          <w:rFonts w:hint="default" w:ascii="仿宋_GB2312" w:eastAsia="仿宋_GB2312"/>
          <w:color w:val="333333"/>
          <w:sz w:val="30"/>
          <w:szCs w:val="30"/>
        </w:rPr>
      </w:pPr>
      <w:r>
        <w:rPr>
          <w:rFonts w:hint="default" w:ascii="仿宋_GB2312" w:eastAsia="仿宋_GB2312"/>
          <w:color w:val="333333"/>
          <w:sz w:val="30"/>
          <w:szCs w:val="30"/>
        </w:rPr>
        <w:t>202</w:t>
      </w:r>
      <w:r>
        <w:rPr>
          <w:rFonts w:hint="eastAsia" w:ascii="仿宋_GB2312" w:eastAsia="仿宋_GB2312"/>
          <w:color w:val="333333"/>
          <w:sz w:val="30"/>
          <w:szCs w:val="30"/>
          <w:lang w:val="en-US" w:eastAsia="zh-CN"/>
        </w:rPr>
        <w:t>2</w:t>
      </w:r>
      <w:r>
        <w:rPr>
          <w:rFonts w:hint="default" w:ascii="仿宋_GB2312" w:eastAsia="仿宋_GB2312"/>
          <w:color w:val="333333"/>
          <w:sz w:val="30"/>
          <w:szCs w:val="30"/>
        </w:rPr>
        <w:t>年，国网台州市椒江区供电公司始终坚持以习近平新时代中国特色社会主义思想为指导，深入贯彻党的</w:t>
      </w:r>
      <w:r>
        <w:rPr>
          <w:rFonts w:hint="eastAsia" w:ascii="仿宋_GB2312" w:eastAsia="仿宋_GB2312"/>
          <w:color w:val="333333"/>
          <w:sz w:val="30"/>
          <w:szCs w:val="30"/>
          <w:lang w:eastAsia="zh-CN"/>
        </w:rPr>
        <w:t>二十大和</w:t>
      </w:r>
      <w:r>
        <w:rPr>
          <w:rFonts w:hint="default" w:ascii="仿宋_GB2312" w:eastAsia="仿宋_GB2312"/>
          <w:color w:val="333333"/>
          <w:sz w:val="30"/>
          <w:szCs w:val="30"/>
        </w:rPr>
        <w:t>十九大全会精神，深入落实党中央、国务院关于全面推进政务公开工作的系列部署，按照《条例》、《暂行办法》，省、市、区202</w:t>
      </w:r>
      <w:r>
        <w:rPr>
          <w:rFonts w:hint="eastAsia" w:ascii="仿宋_GB2312" w:eastAsia="仿宋_GB2312"/>
          <w:color w:val="333333"/>
          <w:sz w:val="30"/>
          <w:szCs w:val="30"/>
          <w:lang w:val="en-US" w:eastAsia="zh-CN"/>
        </w:rPr>
        <w:t>2</w:t>
      </w:r>
      <w:r>
        <w:rPr>
          <w:rFonts w:hint="default" w:ascii="仿宋_GB2312" w:eastAsia="仿宋_GB2312"/>
          <w:color w:val="333333"/>
          <w:sz w:val="30"/>
          <w:szCs w:val="30"/>
        </w:rPr>
        <w:t>年政务公开工作要点，切实加强组织领导，坚持“以公开为常态、不公开为例外”，不断完善工作制度，拓展公开内容，创新公开形式，强化公开监督，强化措施，优化平台，推进政务公开，取得了明显成效，政务公开的社会认同度逐步提高。</w:t>
      </w:r>
    </w:p>
    <w:p>
      <w:pPr>
        <w:pStyle w:val="5"/>
        <w:shd w:val="clear" w:color="auto" w:fill="FFFFFF"/>
        <w:spacing w:before="0" w:beforeAutospacing="0" w:after="0" w:afterAutospacing="0"/>
        <w:ind w:firstLine="480"/>
        <w:jc w:val="both"/>
        <w:rPr>
          <w:rFonts w:hint="default" w:ascii="仿宋_GB2312" w:eastAsia="仿宋_GB2312"/>
          <w:color w:val="333333"/>
          <w:sz w:val="30"/>
          <w:szCs w:val="30"/>
        </w:rPr>
      </w:pPr>
      <w:r>
        <w:rPr>
          <w:rFonts w:hint="default" w:ascii="仿宋_GB2312" w:eastAsia="仿宋_GB2312"/>
          <w:color w:val="333333"/>
          <w:sz w:val="30"/>
          <w:szCs w:val="30"/>
        </w:rPr>
        <w:t>（一）完善工作机制，加强组织保障</w:t>
      </w:r>
    </w:p>
    <w:p>
      <w:pPr>
        <w:pStyle w:val="5"/>
        <w:shd w:val="clear" w:color="auto" w:fill="FFFFFF"/>
        <w:spacing w:before="0" w:beforeAutospacing="0" w:after="0" w:afterAutospacing="0"/>
        <w:ind w:firstLine="480"/>
        <w:jc w:val="both"/>
        <w:rPr>
          <w:rFonts w:hint="default" w:ascii="仿宋_GB2312" w:eastAsia="仿宋_GB2312"/>
          <w:color w:val="333333"/>
          <w:sz w:val="30"/>
          <w:szCs w:val="30"/>
        </w:rPr>
      </w:pPr>
      <w:r>
        <w:rPr>
          <w:rFonts w:hint="default" w:ascii="仿宋_GB2312" w:eastAsia="仿宋_GB2312"/>
          <w:color w:val="333333"/>
          <w:sz w:val="30"/>
          <w:szCs w:val="30"/>
        </w:rPr>
        <w:t>根据人事变动情况，及时调整国网台州市椒江区供电公司政务公开工作领导小组，单位主要领导担任组长</w:t>
      </w:r>
      <w:r>
        <w:rPr>
          <w:rFonts w:hint="eastAsia" w:ascii="仿宋_GB2312" w:eastAsia="仿宋_GB2312"/>
          <w:color w:val="333333"/>
          <w:sz w:val="30"/>
          <w:szCs w:val="30"/>
          <w:lang w:eastAsia="zh-CN"/>
        </w:rPr>
        <w:t>。</w:t>
      </w:r>
      <w:r>
        <w:rPr>
          <w:rFonts w:hint="default" w:ascii="仿宋_GB2312" w:eastAsia="仿宋_GB2312"/>
          <w:color w:val="333333"/>
          <w:sz w:val="30"/>
          <w:szCs w:val="30"/>
        </w:rPr>
        <w:t>更新企业信息公开指南和公开目录，进一步规范工作机制。建立健全信息公开发布审核机制，根据信息来源，按照“谁主管、谁负责”原则，切实加强信息发布保密审查，确保不发生失泄密事件。根据形势变化和工作实际，不断深化信息公开的制度建设，修改完善了《椒江供电公司信息公开指南》、《椒江供电公司信息公开目录》和椒江供电公司贯彻《供电企业信息公开实施办法》实施方案等配套制度。</w:t>
      </w:r>
    </w:p>
    <w:p>
      <w:pPr>
        <w:pStyle w:val="5"/>
        <w:shd w:val="clear" w:color="auto" w:fill="FFFFFF"/>
        <w:spacing w:before="0" w:beforeAutospacing="0" w:after="0" w:afterAutospacing="0"/>
        <w:ind w:firstLine="480"/>
        <w:jc w:val="both"/>
        <w:rPr>
          <w:rFonts w:hint="default" w:ascii="仿宋_GB2312" w:eastAsia="仿宋_GB2312"/>
          <w:color w:val="333333"/>
          <w:sz w:val="30"/>
          <w:szCs w:val="30"/>
        </w:rPr>
      </w:pPr>
      <w:r>
        <w:rPr>
          <w:rFonts w:hint="default" w:ascii="仿宋_GB2312" w:eastAsia="仿宋_GB2312"/>
          <w:color w:val="333333"/>
          <w:sz w:val="30"/>
          <w:szCs w:val="30"/>
        </w:rPr>
        <w:t>（二）畅通平台渠道，及时发布信息</w:t>
      </w:r>
    </w:p>
    <w:p>
      <w:pPr>
        <w:pStyle w:val="5"/>
        <w:shd w:val="clear" w:color="auto" w:fill="FFFFFF"/>
        <w:spacing w:before="0" w:beforeAutospacing="0" w:after="0" w:afterAutospacing="0"/>
        <w:ind w:firstLine="480"/>
        <w:jc w:val="both"/>
        <w:rPr>
          <w:rFonts w:hint="eastAsia" w:ascii="仿宋_GB2312" w:eastAsia="仿宋_GB2312"/>
          <w:color w:val="333333"/>
          <w:sz w:val="30"/>
          <w:szCs w:val="30"/>
        </w:rPr>
      </w:pPr>
      <w:r>
        <w:rPr>
          <w:rFonts w:hint="default" w:ascii="仿宋_GB2312" w:eastAsia="仿宋_GB2312"/>
          <w:color w:val="333333"/>
          <w:sz w:val="30"/>
          <w:szCs w:val="30"/>
        </w:rPr>
        <w:t>及时主动做好信息发布，全年共向社会主动公开相关信息</w:t>
      </w:r>
      <w:r>
        <w:rPr>
          <w:rFonts w:hint="eastAsia" w:ascii="仿宋_GB2312" w:eastAsia="仿宋_GB2312"/>
          <w:color w:val="333333"/>
          <w:sz w:val="30"/>
          <w:szCs w:val="30"/>
          <w:lang w:val="en-US" w:eastAsia="zh-CN"/>
        </w:rPr>
        <w:t>53</w:t>
      </w:r>
      <w:r>
        <w:rPr>
          <w:rFonts w:hint="default" w:ascii="仿宋_GB2312" w:eastAsia="仿宋_GB2312"/>
          <w:color w:val="333333"/>
          <w:sz w:val="30"/>
          <w:szCs w:val="30"/>
        </w:rPr>
        <w:t>条，收到并依规处理政府信息公开申请</w:t>
      </w:r>
      <w:r>
        <w:rPr>
          <w:rFonts w:hint="eastAsia" w:ascii="仿宋_GB2312" w:eastAsia="仿宋_GB2312"/>
          <w:color w:val="333333"/>
          <w:sz w:val="30"/>
          <w:szCs w:val="30"/>
          <w:lang w:val="en-US" w:eastAsia="zh-CN"/>
        </w:rPr>
        <w:t>0</w:t>
      </w:r>
      <w:r>
        <w:rPr>
          <w:rFonts w:hint="default" w:ascii="仿宋_GB2312" w:eastAsia="仿宋_GB2312"/>
          <w:color w:val="333333"/>
          <w:sz w:val="30"/>
          <w:szCs w:val="30"/>
        </w:rPr>
        <w:t>条，无因政府信息公开申请行政复议、行政诉讼情况。主动加强政府沟通，做好对上联系，向区委区政府报送工作专报</w:t>
      </w:r>
      <w:r>
        <w:rPr>
          <w:rFonts w:hint="eastAsia" w:ascii="仿宋_GB2312" w:eastAsia="仿宋_GB2312"/>
          <w:color w:val="333333"/>
          <w:sz w:val="30"/>
          <w:szCs w:val="30"/>
          <w:lang w:val="en-US" w:eastAsia="zh-CN"/>
        </w:rPr>
        <w:t>3</w:t>
      </w:r>
      <w:r>
        <w:rPr>
          <w:rFonts w:hint="default" w:ascii="仿宋_GB2312" w:eastAsia="仿宋_GB2312"/>
          <w:color w:val="333333"/>
          <w:sz w:val="30"/>
          <w:szCs w:val="30"/>
        </w:rPr>
        <w:t>期，获上级领导肯定批示</w:t>
      </w:r>
      <w:r>
        <w:rPr>
          <w:rFonts w:hint="eastAsia" w:ascii="仿宋_GB2312" w:eastAsia="仿宋_GB2312"/>
          <w:color w:val="333333"/>
          <w:sz w:val="30"/>
          <w:szCs w:val="30"/>
          <w:lang w:val="en-US" w:eastAsia="zh-CN"/>
        </w:rPr>
        <w:t>2</w:t>
      </w:r>
      <w:r>
        <w:rPr>
          <w:rFonts w:hint="default" w:ascii="仿宋_GB2312" w:eastAsia="仿宋_GB2312"/>
          <w:color w:val="333333"/>
          <w:sz w:val="30"/>
          <w:szCs w:val="30"/>
        </w:rPr>
        <w:t>次。多方式、多维度、多载体开展专题报道，</w:t>
      </w:r>
      <w:r>
        <w:rPr>
          <w:rFonts w:hint="eastAsia" w:ascii="仿宋_GB2312" w:eastAsia="仿宋_GB2312"/>
          <w:color w:val="333333"/>
          <w:sz w:val="30"/>
          <w:szCs w:val="30"/>
        </w:rPr>
        <w:t>2022年共在国家级媒体上稿82篇，省级媒体57篇，“氢能综合利用示范工程”“柔性低频输电示范工程”“零碳海岛 共富大陈”等重点主题以视频、图文、直播等多媒体形式传播，《全国首个海岛“绿氢”示范工程在台州投运》《中国东海岛屿的绿色能源发展》《全国首条35千伏低频海底电缆在浙江台州上大陈岛入海》《沧桑巨变大陈岛》在央视新闻、新华社、人民日报、光明日报、经济日报等中央威媒，浙江卫视、浙江日报、浙江新闻客户端等省级媒体，中国电力报、国家电网报等行业媒体发布；微电影《追风者》获全国品牌故事大赛一等奖、广播剧《大陈岛上点灯人》入围全国“五个一工程奖”，短视频《风起氢柔处 共绘新电图》获第七届浙江省品牌故事大赛短视频比赛二等奖。</w:t>
      </w:r>
    </w:p>
    <w:p>
      <w:pPr>
        <w:pStyle w:val="5"/>
        <w:shd w:val="clear" w:color="auto" w:fill="FFFFFF"/>
        <w:spacing w:before="0" w:beforeAutospacing="0" w:after="0" w:afterAutospacing="0"/>
        <w:ind w:firstLine="480"/>
        <w:jc w:val="both"/>
        <w:rPr>
          <w:rFonts w:hint="eastAsia" w:ascii="仿宋_GB2312" w:eastAsia="仿宋_GB2312"/>
          <w:b/>
          <w:color w:val="333333"/>
          <w:sz w:val="30"/>
          <w:szCs w:val="30"/>
        </w:rPr>
      </w:pPr>
      <w:r>
        <w:rPr>
          <w:rFonts w:hint="eastAsia" w:ascii="仿宋_GB2312" w:hAnsi="楷体" w:eastAsia="仿宋_GB2312"/>
          <w:b/>
          <w:color w:val="333333"/>
          <w:sz w:val="30"/>
          <w:szCs w:val="30"/>
        </w:rPr>
        <w:t>（二）行政机关主动公开政府信息情况。</w:t>
      </w:r>
    </w:p>
    <w:tbl>
      <w:tblPr>
        <w:tblStyle w:val="7"/>
        <w:tblW w:w="9440" w:type="dxa"/>
        <w:tblInd w:w="93" w:type="dxa"/>
        <w:tblLayout w:type="fixed"/>
        <w:tblCellMar>
          <w:top w:w="0" w:type="dxa"/>
          <w:left w:w="108" w:type="dxa"/>
          <w:bottom w:w="0" w:type="dxa"/>
          <w:right w:w="108" w:type="dxa"/>
        </w:tblCellMar>
      </w:tblPr>
      <w:tblGrid>
        <w:gridCol w:w="2618"/>
        <w:gridCol w:w="2251"/>
        <w:gridCol w:w="2320"/>
        <w:gridCol w:w="2251"/>
      </w:tblGrid>
      <w:tr>
        <w:tblPrEx>
          <w:tblLayout w:type="fixed"/>
          <w:tblCellMar>
            <w:top w:w="0" w:type="dxa"/>
            <w:left w:w="108" w:type="dxa"/>
            <w:bottom w:w="0" w:type="dxa"/>
            <w:right w:w="108" w:type="dxa"/>
          </w:tblCellMar>
        </w:tblPrEx>
        <w:trPr>
          <w:trHeight w:val="379" w:hRule="atLeast"/>
        </w:trPr>
        <w:tc>
          <w:tcPr>
            <w:tcW w:w="9440"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widowControl/>
              <w:jc w:val="center"/>
              <w:rPr>
                <w:rFonts w:hAnsi="宋体" w:cs="宋体"/>
                <w:color w:val="000000"/>
                <w:sz w:val="24"/>
                <w:szCs w:val="24"/>
              </w:rPr>
            </w:pPr>
            <w:r>
              <w:rPr>
                <w:rFonts w:hint="eastAsia" w:hAnsi="宋体" w:cs="宋体"/>
                <w:color w:val="000000"/>
                <w:sz w:val="24"/>
                <w:szCs w:val="24"/>
              </w:rPr>
              <w:t>第二十条第（一）项</w:t>
            </w:r>
          </w:p>
        </w:tc>
      </w:tr>
      <w:tr>
        <w:tblPrEx>
          <w:tblLayout w:type="fixed"/>
          <w:tblCellMar>
            <w:top w:w="0" w:type="dxa"/>
            <w:left w:w="108" w:type="dxa"/>
            <w:bottom w:w="0" w:type="dxa"/>
            <w:right w:w="108" w:type="dxa"/>
          </w:tblCellMar>
        </w:tblPrEx>
        <w:trPr>
          <w:trHeight w:val="379" w:hRule="atLeast"/>
        </w:trPr>
        <w:tc>
          <w:tcPr>
            <w:tcW w:w="2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信息内容</w:t>
            </w:r>
          </w:p>
        </w:tc>
        <w:tc>
          <w:tcPr>
            <w:tcW w:w="2251" w:type="dxa"/>
            <w:tcBorders>
              <w:top w:val="nil"/>
              <w:left w:val="nil"/>
              <w:bottom w:val="nil"/>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本年制发件数</w:t>
            </w:r>
          </w:p>
        </w:tc>
        <w:tc>
          <w:tcPr>
            <w:tcW w:w="2320" w:type="dxa"/>
            <w:tcBorders>
              <w:top w:val="single" w:color="auto" w:sz="4" w:space="0"/>
              <w:left w:val="nil"/>
              <w:bottom w:val="nil"/>
              <w:right w:val="single" w:color="000000"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本年废止件数</w:t>
            </w:r>
          </w:p>
        </w:tc>
        <w:tc>
          <w:tcPr>
            <w:tcW w:w="2251"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现行有效件数</w:t>
            </w:r>
          </w:p>
        </w:tc>
      </w:tr>
      <w:tr>
        <w:tblPrEx>
          <w:tblLayout w:type="fixed"/>
          <w:tblCellMar>
            <w:top w:w="0" w:type="dxa"/>
            <w:left w:w="108" w:type="dxa"/>
            <w:bottom w:w="0" w:type="dxa"/>
            <w:right w:w="108" w:type="dxa"/>
          </w:tblCellMar>
        </w:tblPrEx>
        <w:trPr>
          <w:trHeight w:val="379" w:hRule="atLeast"/>
        </w:trPr>
        <w:tc>
          <w:tcPr>
            <w:tcW w:w="2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规章</w:t>
            </w:r>
          </w:p>
        </w:tc>
        <w:tc>
          <w:tcPr>
            <w:tcW w:w="22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仿宋_GB2312" w:cs="宋体"/>
                <w:color w:val="000000"/>
                <w:sz w:val="24"/>
                <w:szCs w:val="24"/>
                <w:lang w:val="en-US" w:eastAsia="zh-CN"/>
              </w:rPr>
            </w:pPr>
            <w:r>
              <w:rPr>
                <w:rFonts w:hint="eastAsia" w:hAnsi="宋体" w:cs="宋体"/>
                <w:color w:val="000000"/>
                <w:sz w:val="24"/>
                <w:szCs w:val="24"/>
                <w:lang w:val="en-US" w:eastAsia="zh-CN"/>
              </w:rPr>
              <w:t>0</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0</w:t>
            </w:r>
          </w:p>
        </w:tc>
        <w:tc>
          <w:tcPr>
            <w:tcW w:w="2251" w:type="dxa"/>
            <w:tcBorders>
              <w:top w:val="nil"/>
              <w:left w:val="nil"/>
              <w:bottom w:val="single" w:color="auto" w:sz="4" w:space="0"/>
              <w:right w:val="single" w:color="auto" w:sz="4" w:space="0"/>
            </w:tcBorders>
            <w:shd w:val="clear" w:color="auto" w:fill="auto"/>
            <w:vAlign w:val="center"/>
          </w:tcPr>
          <w:p>
            <w:pPr>
              <w:widowControl/>
              <w:jc w:val="center"/>
              <w:rPr>
                <w:rFonts w:hint="eastAsia" w:hAnsi="宋体" w:eastAsia="仿宋_GB2312" w:cs="宋体"/>
                <w:color w:val="000000"/>
                <w:sz w:val="24"/>
                <w:szCs w:val="24"/>
                <w:lang w:val="en-US" w:eastAsia="zh-CN"/>
              </w:rPr>
            </w:pPr>
            <w:r>
              <w:rPr>
                <w:rFonts w:hint="eastAsia" w:hAnsi="宋体" w:cs="宋体"/>
                <w:color w:val="000000"/>
                <w:sz w:val="24"/>
                <w:szCs w:val="24"/>
                <w:lang w:val="en-US" w:eastAsia="zh-CN"/>
              </w:rPr>
              <w:t>1</w:t>
            </w:r>
          </w:p>
        </w:tc>
      </w:tr>
      <w:tr>
        <w:tblPrEx>
          <w:tblLayout w:type="fixed"/>
          <w:tblCellMar>
            <w:top w:w="0" w:type="dxa"/>
            <w:left w:w="108" w:type="dxa"/>
            <w:bottom w:w="0" w:type="dxa"/>
            <w:right w:w="108" w:type="dxa"/>
          </w:tblCellMar>
        </w:tblPrEx>
        <w:trPr>
          <w:trHeight w:val="379" w:hRule="atLeast"/>
        </w:trPr>
        <w:tc>
          <w:tcPr>
            <w:tcW w:w="2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规范性文件</w:t>
            </w:r>
          </w:p>
        </w:tc>
        <w:tc>
          <w:tcPr>
            <w:tcW w:w="2251" w:type="dxa"/>
            <w:tcBorders>
              <w:top w:val="nil"/>
              <w:left w:val="nil"/>
              <w:bottom w:val="single" w:color="auto" w:sz="4" w:space="0"/>
              <w:right w:val="single" w:color="auto" w:sz="4" w:space="0"/>
            </w:tcBorders>
            <w:shd w:val="clear" w:color="auto" w:fill="auto"/>
            <w:vAlign w:val="center"/>
          </w:tcPr>
          <w:p>
            <w:pPr>
              <w:widowControl/>
              <w:jc w:val="center"/>
              <w:rPr>
                <w:rFonts w:hint="eastAsia" w:hAnsi="宋体" w:eastAsia="仿宋_GB2312" w:cs="宋体"/>
                <w:color w:val="000000"/>
                <w:sz w:val="24"/>
                <w:szCs w:val="24"/>
                <w:lang w:val="en-US" w:eastAsia="zh-CN"/>
              </w:rPr>
            </w:pPr>
            <w:r>
              <w:rPr>
                <w:rFonts w:hint="eastAsia" w:hAnsi="宋体" w:cs="宋体"/>
                <w:color w:val="000000"/>
                <w:sz w:val="24"/>
                <w:szCs w:val="24"/>
                <w:lang w:val="en-US" w:eastAsia="zh-CN"/>
              </w:rPr>
              <w:t>0</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0</w:t>
            </w:r>
          </w:p>
        </w:tc>
        <w:tc>
          <w:tcPr>
            <w:tcW w:w="2251" w:type="dxa"/>
            <w:tcBorders>
              <w:top w:val="nil"/>
              <w:left w:val="nil"/>
              <w:bottom w:val="single" w:color="auto" w:sz="4" w:space="0"/>
              <w:right w:val="single" w:color="auto" w:sz="4" w:space="0"/>
            </w:tcBorders>
            <w:shd w:val="clear" w:color="auto" w:fill="auto"/>
            <w:vAlign w:val="center"/>
          </w:tcPr>
          <w:p>
            <w:pPr>
              <w:widowControl/>
              <w:jc w:val="center"/>
              <w:rPr>
                <w:rFonts w:hint="eastAsia" w:hAnsi="宋体" w:eastAsia="仿宋_GB2312" w:cs="宋体"/>
                <w:color w:val="000000"/>
                <w:sz w:val="24"/>
                <w:szCs w:val="24"/>
                <w:lang w:val="en-US" w:eastAsia="zh-CN"/>
              </w:rPr>
            </w:pPr>
            <w:r>
              <w:rPr>
                <w:rFonts w:hint="eastAsia" w:hAnsi="宋体" w:cs="宋体"/>
                <w:color w:val="000000"/>
                <w:sz w:val="24"/>
                <w:szCs w:val="24"/>
                <w:lang w:val="en-US" w:eastAsia="zh-CN"/>
              </w:rPr>
              <w:t>12</w:t>
            </w:r>
          </w:p>
        </w:tc>
      </w:tr>
      <w:tr>
        <w:tblPrEx>
          <w:tblLayout w:type="fixed"/>
          <w:tblCellMar>
            <w:top w:w="0" w:type="dxa"/>
            <w:left w:w="108" w:type="dxa"/>
            <w:bottom w:w="0" w:type="dxa"/>
            <w:right w:w="108" w:type="dxa"/>
          </w:tblCellMar>
        </w:tblPrEx>
        <w:trPr>
          <w:trHeight w:val="379" w:hRule="atLeast"/>
        </w:trPr>
        <w:tc>
          <w:tcPr>
            <w:tcW w:w="9440"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widowControl/>
              <w:jc w:val="center"/>
              <w:rPr>
                <w:rFonts w:hAnsi="宋体" w:cs="宋体"/>
                <w:color w:val="000000"/>
                <w:sz w:val="24"/>
                <w:szCs w:val="24"/>
              </w:rPr>
            </w:pPr>
            <w:r>
              <w:rPr>
                <w:rFonts w:hint="eastAsia" w:hAnsi="宋体" w:cs="宋体"/>
                <w:color w:val="000000"/>
                <w:sz w:val="24"/>
                <w:szCs w:val="24"/>
              </w:rPr>
              <w:t>第二十条第（五）项</w:t>
            </w:r>
          </w:p>
        </w:tc>
      </w:tr>
      <w:tr>
        <w:tblPrEx>
          <w:tblLayout w:type="fixed"/>
          <w:tblCellMar>
            <w:top w:w="0" w:type="dxa"/>
            <w:left w:w="108" w:type="dxa"/>
            <w:bottom w:w="0" w:type="dxa"/>
            <w:right w:w="108" w:type="dxa"/>
          </w:tblCellMar>
        </w:tblPrEx>
        <w:trPr>
          <w:trHeight w:val="379" w:hRule="atLeast"/>
        </w:trPr>
        <w:tc>
          <w:tcPr>
            <w:tcW w:w="2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信息内容</w:t>
            </w:r>
          </w:p>
        </w:tc>
        <w:tc>
          <w:tcPr>
            <w:tcW w:w="68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本年处理决定数量</w:t>
            </w:r>
          </w:p>
        </w:tc>
      </w:tr>
      <w:tr>
        <w:tblPrEx>
          <w:tblLayout w:type="fixed"/>
          <w:tblCellMar>
            <w:top w:w="0" w:type="dxa"/>
            <w:left w:w="108" w:type="dxa"/>
            <w:bottom w:w="0" w:type="dxa"/>
            <w:right w:w="108" w:type="dxa"/>
          </w:tblCellMar>
        </w:tblPrEx>
        <w:trPr>
          <w:trHeight w:val="379" w:hRule="atLeast"/>
        </w:trPr>
        <w:tc>
          <w:tcPr>
            <w:tcW w:w="2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行政许可</w:t>
            </w:r>
          </w:p>
        </w:tc>
        <w:tc>
          <w:tcPr>
            <w:tcW w:w="68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0</w:t>
            </w:r>
          </w:p>
        </w:tc>
      </w:tr>
      <w:tr>
        <w:tblPrEx>
          <w:tblLayout w:type="fixed"/>
          <w:tblCellMar>
            <w:top w:w="0" w:type="dxa"/>
            <w:left w:w="108" w:type="dxa"/>
            <w:bottom w:w="0" w:type="dxa"/>
            <w:right w:w="108" w:type="dxa"/>
          </w:tblCellMar>
        </w:tblPrEx>
        <w:trPr>
          <w:trHeight w:val="379" w:hRule="atLeast"/>
        </w:trPr>
        <w:tc>
          <w:tcPr>
            <w:tcW w:w="9440"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widowControl/>
              <w:jc w:val="center"/>
              <w:rPr>
                <w:rFonts w:hAnsi="宋体" w:cs="宋体"/>
                <w:color w:val="000000"/>
                <w:sz w:val="24"/>
                <w:szCs w:val="24"/>
              </w:rPr>
            </w:pPr>
            <w:r>
              <w:rPr>
                <w:rFonts w:hint="eastAsia" w:hAnsi="宋体" w:cs="宋体"/>
                <w:color w:val="000000"/>
                <w:sz w:val="24"/>
                <w:szCs w:val="24"/>
              </w:rPr>
              <w:t>第二十条第（六）项</w:t>
            </w:r>
          </w:p>
        </w:tc>
      </w:tr>
      <w:tr>
        <w:tblPrEx>
          <w:tblLayout w:type="fixed"/>
          <w:tblCellMar>
            <w:top w:w="0" w:type="dxa"/>
            <w:left w:w="108" w:type="dxa"/>
            <w:bottom w:w="0" w:type="dxa"/>
            <w:right w:w="108" w:type="dxa"/>
          </w:tblCellMar>
        </w:tblPrEx>
        <w:trPr>
          <w:trHeight w:val="379" w:hRule="atLeast"/>
        </w:trPr>
        <w:tc>
          <w:tcPr>
            <w:tcW w:w="2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信息内容</w:t>
            </w:r>
          </w:p>
        </w:tc>
        <w:tc>
          <w:tcPr>
            <w:tcW w:w="68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本年处理决定数量</w:t>
            </w:r>
          </w:p>
        </w:tc>
      </w:tr>
      <w:tr>
        <w:tblPrEx>
          <w:tblLayout w:type="fixed"/>
          <w:tblCellMar>
            <w:top w:w="0" w:type="dxa"/>
            <w:left w:w="108" w:type="dxa"/>
            <w:bottom w:w="0" w:type="dxa"/>
            <w:right w:w="108" w:type="dxa"/>
          </w:tblCellMar>
        </w:tblPrEx>
        <w:trPr>
          <w:trHeight w:val="379" w:hRule="atLeast"/>
        </w:trPr>
        <w:tc>
          <w:tcPr>
            <w:tcW w:w="2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行政处罚</w:t>
            </w:r>
          </w:p>
        </w:tc>
        <w:tc>
          <w:tcPr>
            <w:tcW w:w="68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lang w:val="en-US" w:eastAsia="zh-CN"/>
              </w:rPr>
              <w:t>0</w:t>
            </w:r>
            <w:r>
              <w:rPr>
                <w:rFonts w:hint="eastAsia" w:hAnsi="宋体" w:cs="宋体"/>
                <w:color w:val="000000"/>
                <w:sz w:val="24"/>
                <w:szCs w:val="24"/>
              </w:rPr>
              <w:t>　</w:t>
            </w:r>
          </w:p>
        </w:tc>
      </w:tr>
      <w:tr>
        <w:tblPrEx>
          <w:tblLayout w:type="fixed"/>
          <w:tblCellMar>
            <w:top w:w="0" w:type="dxa"/>
            <w:left w:w="108" w:type="dxa"/>
            <w:bottom w:w="0" w:type="dxa"/>
            <w:right w:w="108" w:type="dxa"/>
          </w:tblCellMar>
        </w:tblPrEx>
        <w:trPr>
          <w:trHeight w:val="379" w:hRule="atLeast"/>
        </w:trPr>
        <w:tc>
          <w:tcPr>
            <w:tcW w:w="2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行政强制</w:t>
            </w:r>
          </w:p>
        </w:tc>
        <w:tc>
          <w:tcPr>
            <w:tcW w:w="68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lang w:val="en-US" w:eastAsia="zh-CN"/>
              </w:rPr>
              <w:t>0</w:t>
            </w:r>
            <w:r>
              <w:rPr>
                <w:rFonts w:hint="eastAsia" w:hAnsi="宋体" w:cs="宋体"/>
                <w:color w:val="000000"/>
                <w:sz w:val="24"/>
                <w:szCs w:val="24"/>
              </w:rPr>
              <w:t>　</w:t>
            </w:r>
          </w:p>
        </w:tc>
      </w:tr>
      <w:tr>
        <w:tblPrEx>
          <w:tblLayout w:type="fixed"/>
          <w:tblCellMar>
            <w:top w:w="0" w:type="dxa"/>
            <w:left w:w="108" w:type="dxa"/>
            <w:bottom w:w="0" w:type="dxa"/>
            <w:right w:w="108" w:type="dxa"/>
          </w:tblCellMar>
        </w:tblPrEx>
        <w:trPr>
          <w:trHeight w:val="379" w:hRule="atLeast"/>
        </w:trPr>
        <w:tc>
          <w:tcPr>
            <w:tcW w:w="9440"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widowControl/>
              <w:jc w:val="center"/>
              <w:rPr>
                <w:rFonts w:hAnsi="宋体" w:cs="宋体"/>
                <w:color w:val="000000"/>
                <w:sz w:val="24"/>
                <w:szCs w:val="24"/>
              </w:rPr>
            </w:pPr>
            <w:r>
              <w:rPr>
                <w:rFonts w:hint="eastAsia" w:hAnsi="宋体" w:cs="宋体"/>
                <w:color w:val="000000"/>
                <w:sz w:val="24"/>
                <w:szCs w:val="24"/>
              </w:rPr>
              <w:t>第二十条第（八）项</w:t>
            </w:r>
          </w:p>
        </w:tc>
      </w:tr>
      <w:tr>
        <w:tblPrEx>
          <w:tblLayout w:type="fixed"/>
          <w:tblCellMar>
            <w:top w:w="0" w:type="dxa"/>
            <w:left w:w="108" w:type="dxa"/>
            <w:bottom w:w="0" w:type="dxa"/>
            <w:right w:w="108" w:type="dxa"/>
          </w:tblCellMar>
        </w:tblPrEx>
        <w:trPr>
          <w:trHeight w:val="379" w:hRule="atLeast"/>
        </w:trPr>
        <w:tc>
          <w:tcPr>
            <w:tcW w:w="2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信息内容</w:t>
            </w:r>
          </w:p>
        </w:tc>
        <w:tc>
          <w:tcPr>
            <w:tcW w:w="68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本年收费金额（单位：万元）</w:t>
            </w:r>
          </w:p>
        </w:tc>
      </w:tr>
      <w:tr>
        <w:tblPrEx>
          <w:tblLayout w:type="fixed"/>
          <w:tblCellMar>
            <w:top w:w="0" w:type="dxa"/>
            <w:left w:w="108" w:type="dxa"/>
            <w:bottom w:w="0" w:type="dxa"/>
            <w:right w:w="108" w:type="dxa"/>
          </w:tblCellMar>
        </w:tblPrEx>
        <w:trPr>
          <w:trHeight w:val="379" w:hRule="atLeast"/>
        </w:trPr>
        <w:tc>
          <w:tcPr>
            <w:tcW w:w="2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行政事业性收费</w:t>
            </w:r>
          </w:p>
        </w:tc>
        <w:tc>
          <w:tcPr>
            <w:tcW w:w="68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lang w:val="en-US" w:eastAsia="zh-CN"/>
              </w:rPr>
              <w:t>0</w:t>
            </w:r>
            <w:r>
              <w:rPr>
                <w:rFonts w:hint="eastAsia" w:hAnsi="宋体" w:cs="宋体"/>
                <w:color w:val="000000"/>
                <w:sz w:val="24"/>
                <w:szCs w:val="24"/>
              </w:rPr>
              <w:t>　</w:t>
            </w:r>
          </w:p>
        </w:tc>
      </w:tr>
    </w:tbl>
    <w:p>
      <w:pPr>
        <w:pStyle w:val="5"/>
        <w:shd w:val="clear" w:color="auto" w:fill="FFFFFF"/>
        <w:spacing w:before="0" w:beforeAutospacing="0" w:after="0" w:afterAutospacing="0"/>
        <w:ind w:firstLine="480"/>
        <w:jc w:val="both"/>
        <w:rPr>
          <w:rFonts w:hint="eastAsia" w:ascii="仿宋_GB2312" w:eastAsia="仿宋_GB2312"/>
          <w:b/>
          <w:color w:val="333333"/>
          <w:sz w:val="30"/>
          <w:szCs w:val="30"/>
        </w:rPr>
      </w:pPr>
      <w:r>
        <w:rPr>
          <w:rFonts w:hint="eastAsia" w:ascii="仿宋_GB2312" w:hAnsi="楷体" w:eastAsia="仿宋_GB2312"/>
          <w:b/>
          <w:color w:val="333333"/>
          <w:sz w:val="30"/>
          <w:szCs w:val="30"/>
        </w:rPr>
        <w:t>（三）行政机关收到和处理政府信息公开申请情况。</w:t>
      </w:r>
    </w:p>
    <w:tbl>
      <w:tblPr>
        <w:tblStyle w:val="7"/>
        <w:tblW w:w="833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17"/>
        <w:gridCol w:w="1416"/>
        <w:gridCol w:w="2396"/>
        <w:gridCol w:w="544"/>
        <w:gridCol w:w="544"/>
        <w:gridCol w:w="544"/>
        <w:gridCol w:w="698"/>
        <w:gridCol w:w="698"/>
        <w:gridCol w:w="544"/>
        <w:gridCol w:w="3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05" w:hRule="atLeast"/>
        </w:trPr>
        <w:tc>
          <w:tcPr>
            <w:tcW w:w="4429" w:type="dxa"/>
            <w:gridSpan w:val="3"/>
            <w:vMerge w:val="restart"/>
            <w:tcBorders>
              <w:top w:val="single" w:color="auto" w:sz="6" w:space="0"/>
              <w:left w:val="single" w:color="auto" w:sz="6" w:space="0"/>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（本列数据的勾稽关系为：</w:t>
            </w:r>
            <w:r>
              <w:br w:type="textWrapping"/>
            </w:r>
            <w:r>
              <w:t>第一项加第二项之和，等于第三项</w:t>
            </w:r>
            <w:r>
              <w:br w:type="textWrapping"/>
            </w:r>
            <w:r>
              <w:t>加第四项之和）</w:t>
            </w:r>
          </w:p>
        </w:tc>
        <w:tc>
          <w:tcPr>
            <w:tcW w:w="3903" w:type="dxa"/>
            <w:gridSpan w:val="7"/>
            <w:tcBorders>
              <w:top w:val="single" w:color="auto" w:sz="6" w:space="0"/>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442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544" w:type="dxa"/>
            <w:vMerge w:val="restart"/>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自然人</w:t>
            </w:r>
          </w:p>
        </w:tc>
        <w:tc>
          <w:tcPr>
            <w:tcW w:w="3028" w:type="dxa"/>
            <w:gridSpan w:val="5"/>
            <w:tcBorders>
              <w:top w:val="single" w:color="auto" w:sz="6" w:space="0"/>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法人或其他组织</w:t>
            </w:r>
          </w:p>
        </w:tc>
        <w:tc>
          <w:tcPr>
            <w:tcW w:w="331" w:type="dxa"/>
            <w:vMerge w:val="restart"/>
            <w:tcBorders>
              <w:top w:val="single" w:color="auto" w:sz="6" w:space="0"/>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95" w:hRule="atLeast"/>
        </w:trPr>
        <w:tc>
          <w:tcPr>
            <w:tcW w:w="442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544"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商业企业</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科研机构</w:t>
            </w:r>
          </w:p>
        </w:tc>
        <w:tc>
          <w:tcPr>
            <w:tcW w:w="698" w:type="dxa"/>
            <w:tcBorders>
              <w:top w:val="single" w:color="auto" w:sz="6" w:space="0"/>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社会公益组织</w:t>
            </w:r>
          </w:p>
        </w:tc>
        <w:tc>
          <w:tcPr>
            <w:tcW w:w="698" w:type="dxa"/>
            <w:tcBorders>
              <w:top w:val="single" w:color="auto" w:sz="6" w:space="0"/>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法律服务机构</w:t>
            </w:r>
          </w:p>
        </w:tc>
        <w:tc>
          <w:tcPr>
            <w:tcW w:w="544" w:type="dxa"/>
            <w:tcBorders>
              <w:top w:val="single" w:color="auto" w:sz="6" w:space="0"/>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其他</w:t>
            </w:r>
          </w:p>
        </w:tc>
        <w:tc>
          <w:tcPr>
            <w:tcW w:w="331" w:type="dxa"/>
            <w:vMerge w:val="continue"/>
            <w:tcBorders>
              <w:top w:val="single" w:color="auto" w:sz="6" w:space="0"/>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4429" w:type="dxa"/>
            <w:gridSpan w:val="3"/>
            <w:tcBorders>
              <w:top w:val="nil"/>
              <w:left w:val="single" w:color="auto" w:sz="6" w:space="0"/>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一、本年新收政府信息公开申请数量</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eastAsiaTheme="minorEastAsia"/>
                <w:lang w:eastAsia="zh-CN"/>
              </w:rPr>
            </w:pPr>
            <w:r>
              <w:rPr>
                <w:rFonts w:hint="eastAsia"/>
                <w:lang w:val="en-US" w:eastAsia="zh-CN"/>
              </w:rP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eastAsiaTheme="minorEastAsia"/>
                <w:lang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4429" w:type="dxa"/>
            <w:gridSpan w:val="3"/>
            <w:tcBorders>
              <w:top w:val="nil"/>
              <w:left w:val="single" w:color="auto" w:sz="6" w:space="0"/>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二、上年结转政府信息公开申请数量</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restart"/>
            <w:tcBorders>
              <w:top w:val="nil"/>
              <w:left w:val="single" w:color="auto" w:sz="6" w:space="0"/>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三、本年度办理结果</w:t>
            </w:r>
          </w:p>
        </w:tc>
        <w:tc>
          <w:tcPr>
            <w:tcW w:w="3812" w:type="dxa"/>
            <w:gridSpan w:val="2"/>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（一）予以公开</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eastAsiaTheme="minorEastAsia"/>
                <w:lang w:val="en-US" w:eastAsia="zh-CN"/>
              </w:rPr>
            </w:pPr>
            <w:r>
              <w:rPr>
                <w:rFonts w:hint="eastAsia" w:eastAsiaTheme="minorEastAsia"/>
                <w:lang w:val="en-US" w:eastAsia="zh-CN"/>
              </w:rP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single" w:color="auto" w:sz="6" w:space="0"/>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9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3812" w:type="dxa"/>
            <w:gridSpan w:val="2"/>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（二）部分公开（区分处理的，只计这一情形，不计其他情形）</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restart"/>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（三）不予公开</w:t>
            </w: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1.属于国家秘密</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single" w:color="auto" w:sz="6" w:space="0"/>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2.其他法律行政法规禁止公开</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3.危及“三安全一稳定”</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4.保护第三方合法权益</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5.属于三类内部事务信息</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6.属于四类过程性信息</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7.属于行政执法案卷</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8.属于行政查询事项</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restart"/>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（四）无法提供</w:t>
            </w: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1.本机关不掌握相关政府信息</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2.没有现成信息需要另行制作</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3.补正后申请内容仍不明确</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restart"/>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（五）不予处理</w:t>
            </w: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1.信访举报投诉类申请</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2.重复申请</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3.要求提供公开出版物</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4.无正当理由大量反复申请</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9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1416" w:type="dxa"/>
            <w:vMerge w:val="continue"/>
            <w:tcBorders>
              <w:top w:val="nil"/>
              <w:left w:val="nil"/>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2396"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5.要求行政机关确认或重新出具已获取信息</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3812" w:type="dxa"/>
            <w:gridSpan w:val="2"/>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（六）其他处理</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617" w:type="dxa"/>
            <w:vMerge w:val="continue"/>
            <w:tcBorders>
              <w:top w:val="nil"/>
              <w:left w:val="single" w:color="auto" w:sz="6" w:space="0"/>
              <w:bottom w:val="single" w:color="auto" w:sz="6" w:space="0"/>
              <w:right w:val="single" w:color="auto" w:sz="6" w:space="0"/>
            </w:tcBorders>
            <w:shd w:val="clear" w:color="auto" w:fill="auto"/>
            <w:tcMar>
              <w:bottom w:w="0" w:type="dxa"/>
            </w:tcMar>
            <w:vAlign w:val="center"/>
          </w:tcPr>
          <w:p>
            <w:pPr>
              <w:rPr>
                <w:rFonts w:hint="eastAsia" w:ascii="宋体"/>
                <w:sz w:val="24"/>
                <w:szCs w:val="24"/>
              </w:rPr>
            </w:pPr>
          </w:p>
        </w:tc>
        <w:tc>
          <w:tcPr>
            <w:tcW w:w="3812" w:type="dxa"/>
            <w:gridSpan w:val="2"/>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（七）总计</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eastAsiaTheme="minorEastAsia"/>
                <w:lang w:val="en-US" w:eastAsia="zh-CN"/>
              </w:rPr>
            </w:pPr>
            <w:r>
              <w:rPr>
                <w:rFonts w:hint="eastAsia" w:eastAsiaTheme="minorEastAsia"/>
                <w:lang w:val="en-US" w:eastAsia="zh-CN"/>
              </w:rP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4429" w:type="dxa"/>
            <w:gridSpan w:val="3"/>
            <w:tcBorders>
              <w:top w:val="nil"/>
              <w:left w:val="single" w:color="auto" w:sz="6" w:space="0"/>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四、结转下年度继续办理</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698"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544"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c>
          <w:tcPr>
            <w:tcW w:w="331" w:type="dxa"/>
            <w:tcBorders>
              <w:top w:val="nil"/>
              <w:left w:val="nil"/>
              <w:bottom w:val="single" w:color="auto" w:sz="6" w:space="0"/>
              <w:right w:val="single" w:color="auto" w:sz="6" w:space="0"/>
            </w:tcBorders>
            <w:shd w:val="clear" w:color="auto" w:fill="auto"/>
            <w:tcMar>
              <w:bottom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t>0</w:t>
            </w:r>
          </w:p>
        </w:tc>
      </w:tr>
    </w:tbl>
    <w:p>
      <w:pPr>
        <w:pStyle w:val="5"/>
        <w:shd w:val="clear" w:color="auto" w:fill="FFFFFF"/>
        <w:spacing w:before="0" w:beforeAutospacing="0" w:after="0" w:afterAutospacing="0"/>
        <w:jc w:val="both"/>
        <w:rPr>
          <w:rFonts w:hint="eastAsia" w:ascii="仿宋_GB2312" w:eastAsia="仿宋_GB2312"/>
          <w:color w:val="333333"/>
          <w:sz w:val="30"/>
          <w:szCs w:val="30"/>
        </w:rPr>
      </w:pPr>
    </w:p>
    <w:p>
      <w:pPr>
        <w:pStyle w:val="5"/>
        <w:shd w:val="clear" w:color="auto" w:fill="FFFFFF"/>
        <w:spacing w:before="0" w:beforeAutospacing="0" w:after="0" w:afterAutospacing="0"/>
        <w:ind w:firstLine="480"/>
        <w:jc w:val="both"/>
        <w:rPr>
          <w:rFonts w:hint="eastAsia" w:ascii="仿宋_GB2312" w:hAnsi="楷体" w:eastAsia="仿宋_GB2312"/>
          <w:b/>
          <w:color w:val="333333"/>
          <w:sz w:val="30"/>
          <w:szCs w:val="30"/>
        </w:rPr>
      </w:pPr>
      <w:r>
        <w:rPr>
          <w:rFonts w:hint="eastAsia" w:ascii="仿宋_GB2312" w:hAnsi="楷体" w:eastAsia="仿宋_GB2312"/>
          <w:b/>
          <w:color w:val="333333"/>
          <w:sz w:val="30"/>
          <w:szCs w:val="30"/>
        </w:rPr>
        <w:t>（四）因政府信息公开工作被申请行政复议、提起行政诉讼情况。</w:t>
      </w:r>
    </w:p>
    <w:tbl>
      <w:tblPr>
        <w:tblStyle w:val="7"/>
        <w:tblW w:w="8536" w:type="dxa"/>
        <w:tblInd w:w="-34" w:type="dxa"/>
        <w:tblLayout w:type="fixed"/>
        <w:tblCellMar>
          <w:top w:w="0" w:type="dxa"/>
          <w:left w:w="108" w:type="dxa"/>
          <w:bottom w:w="0" w:type="dxa"/>
          <w:right w:w="108" w:type="dxa"/>
        </w:tblCellMar>
      </w:tblPr>
      <w:tblGrid>
        <w:gridCol w:w="456"/>
        <w:gridCol w:w="535"/>
        <w:gridCol w:w="456"/>
        <w:gridCol w:w="566"/>
        <w:gridCol w:w="508"/>
        <w:gridCol w:w="677"/>
        <w:gridCol w:w="677"/>
        <w:gridCol w:w="677"/>
        <w:gridCol w:w="677"/>
        <w:gridCol w:w="596"/>
        <w:gridCol w:w="554"/>
        <w:gridCol w:w="456"/>
        <w:gridCol w:w="678"/>
        <w:gridCol w:w="567"/>
        <w:gridCol w:w="456"/>
      </w:tblGrid>
      <w:tr>
        <w:tblPrEx>
          <w:tblLayout w:type="fixed"/>
          <w:tblCellMar>
            <w:top w:w="0" w:type="dxa"/>
            <w:left w:w="108" w:type="dxa"/>
            <w:bottom w:w="0" w:type="dxa"/>
            <w:right w:w="108" w:type="dxa"/>
          </w:tblCellMar>
        </w:tblPrEx>
        <w:trPr>
          <w:trHeight w:val="360" w:hRule="atLeast"/>
        </w:trPr>
        <w:tc>
          <w:tcPr>
            <w:tcW w:w="25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行政复议</w:t>
            </w:r>
          </w:p>
        </w:tc>
        <w:tc>
          <w:tcPr>
            <w:tcW w:w="6015"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行政诉讼</w:t>
            </w:r>
          </w:p>
        </w:tc>
      </w:tr>
      <w:tr>
        <w:tblPrEx>
          <w:tblLayout w:type="fixed"/>
          <w:tblCellMar>
            <w:top w:w="0" w:type="dxa"/>
            <w:left w:w="108" w:type="dxa"/>
            <w:bottom w:w="0" w:type="dxa"/>
            <w:right w:w="108" w:type="dxa"/>
          </w:tblCellMar>
        </w:tblPrEx>
        <w:trPr>
          <w:trHeight w:val="360" w:hRule="atLeast"/>
        </w:trPr>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结果维持</w:t>
            </w:r>
          </w:p>
        </w:tc>
        <w:tc>
          <w:tcPr>
            <w:tcW w:w="5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结果纠正</w:t>
            </w:r>
          </w:p>
        </w:tc>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其他结果</w:t>
            </w:r>
          </w:p>
        </w:tc>
        <w:tc>
          <w:tcPr>
            <w:tcW w:w="5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尚未审结</w:t>
            </w:r>
          </w:p>
        </w:tc>
        <w:tc>
          <w:tcPr>
            <w:tcW w:w="5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总计</w:t>
            </w:r>
          </w:p>
        </w:tc>
        <w:tc>
          <w:tcPr>
            <w:tcW w:w="33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未经复议直接起诉</w:t>
            </w:r>
          </w:p>
        </w:tc>
        <w:tc>
          <w:tcPr>
            <w:tcW w:w="271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复议后起诉</w:t>
            </w:r>
          </w:p>
        </w:tc>
      </w:tr>
      <w:tr>
        <w:tblPrEx>
          <w:tblLayout w:type="fixed"/>
          <w:tblCellMar>
            <w:top w:w="0" w:type="dxa"/>
            <w:left w:w="108" w:type="dxa"/>
            <w:bottom w:w="0" w:type="dxa"/>
            <w:right w:w="108" w:type="dxa"/>
          </w:tblCellMar>
        </w:tblPrEx>
        <w:trPr>
          <w:trHeight w:val="720"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sz w:val="24"/>
                <w:szCs w:val="24"/>
              </w:rPr>
            </w:pPr>
          </w:p>
        </w:tc>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sz w:val="24"/>
                <w:szCs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sz w:val="24"/>
                <w:szCs w:val="24"/>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sz w:val="24"/>
                <w:szCs w:val="24"/>
              </w:rPr>
            </w:pPr>
          </w:p>
        </w:tc>
        <w:tc>
          <w:tcPr>
            <w:tcW w:w="5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sz w:val="24"/>
                <w:szCs w:val="24"/>
              </w:rPr>
            </w:pP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结果维持</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结果纠正</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其他结果</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尚未审结</w:t>
            </w:r>
          </w:p>
        </w:tc>
        <w:tc>
          <w:tcPr>
            <w:tcW w:w="596"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总计</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结果维持</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结果纠正</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其他结果</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尚未审结</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4"/>
                <w:szCs w:val="24"/>
              </w:rPr>
            </w:pPr>
            <w:r>
              <w:rPr>
                <w:rFonts w:hint="eastAsia" w:hAnsi="宋体" w:cs="宋体"/>
                <w:color w:val="000000"/>
                <w:sz w:val="24"/>
                <w:szCs w:val="24"/>
              </w:rPr>
              <w:t>总计</w:t>
            </w:r>
          </w:p>
        </w:tc>
      </w:tr>
      <w:tr>
        <w:tblPrEx>
          <w:tblLayout w:type="fixed"/>
          <w:tblCellMar>
            <w:top w:w="0" w:type="dxa"/>
            <w:left w:w="108" w:type="dxa"/>
            <w:bottom w:w="0" w:type="dxa"/>
            <w:right w:w="108" w:type="dxa"/>
          </w:tblCellMar>
        </w:tblPrEx>
        <w:trPr>
          <w:trHeight w:val="3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5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5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w:t>
            </w:r>
          </w:p>
        </w:tc>
      </w:tr>
    </w:tbl>
    <w:p>
      <w:pPr>
        <w:pStyle w:val="5"/>
        <w:shd w:val="clear" w:color="auto" w:fill="FFFFFF"/>
        <w:spacing w:before="0" w:beforeAutospacing="0" w:after="0" w:afterAutospacing="0"/>
        <w:ind w:firstLine="480"/>
        <w:jc w:val="both"/>
        <w:rPr>
          <w:rFonts w:hint="default" w:ascii="仿宋_GB2312" w:eastAsia="仿宋_GB2312"/>
          <w:color w:val="333333"/>
          <w:sz w:val="30"/>
          <w:szCs w:val="30"/>
        </w:rPr>
      </w:pPr>
      <w:r>
        <w:rPr>
          <w:rFonts w:hint="eastAsia" w:ascii="仿宋_GB2312" w:hAnsi="楷体" w:eastAsia="仿宋_GB2312"/>
          <w:b/>
          <w:color w:val="333333"/>
          <w:sz w:val="30"/>
          <w:szCs w:val="30"/>
        </w:rPr>
        <w:t>（五）政府信息公开工作存在的主要问题及改进情况。</w:t>
      </w:r>
      <w:r>
        <w:rPr>
          <w:rFonts w:hint="eastAsia" w:ascii="仿宋_GB2312" w:eastAsia="仿宋_GB2312"/>
          <w:color w:val="333333"/>
          <w:sz w:val="30"/>
          <w:szCs w:val="30"/>
          <w:lang w:eastAsia="zh-CN"/>
        </w:rPr>
        <w:t>（一）</w:t>
      </w:r>
      <w:r>
        <w:rPr>
          <w:rFonts w:hint="default" w:ascii="仿宋_GB2312" w:eastAsia="仿宋_GB2312"/>
          <w:color w:val="333333"/>
          <w:sz w:val="30"/>
          <w:szCs w:val="30"/>
        </w:rPr>
        <w:t>存在主要问题。一是</w:t>
      </w:r>
      <w:r>
        <w:rPr>
          <w:rFonts w:hint="eastAsia" w:ascii="仿宋_GB2312" w:eastAsia="仿宋_GB2312"/>
          <w:color w:val="333333"/>
          <w:sz w:val="30"/>
          <w:szCs w:val="30"/>
          <w:lang w:eastAsia="zh-CN"/>
        </w:rPr>
        <w:t>主动公开形式需进一步充实丰富，深度需进一步提升</w:t>
      </w:r>
      <w:r>
        <w:rPr>
          <w:rFonts w:hint="default" w:ascii="仿宋_GB2312" w:eastAsia="仿宋_GB2312"/>
          <w:color w:val="333333"/>
          <w:sz w:val="30"/>
          <w:szCs w:val="30"/>
        </w:rPr>
        <w:t>。二是</w:t>
      </w:r>
      <w:r>
        <w:rPr>
          <w:rFonts w:hint="eastAsia" w:ascii="仿宋_GB2312" w:eastAsia="仿宋_GB2312"/>
          <w:color w:val="333333"/>
          <w:sz w:val="30"/>
          <w:szCs w:val="30"/>
          <w:lang w:eastAsia="zh-CN"/>
        </w:rPr>
        <w:t>重大行政决策解读工作有待进一步加强</w:t>
      </w:r>
      <w:r>
        <w:rPr>
          <w:rFonts w:hint="default" w:ascii="仿宋_GB2312" w:eastAsia="仿宋_GB2312"/>
          <w:color w:val="333333"/>
          <w:sz w:val="30"/>
          <w:szCs w:val="30"/>
        </w:rPr>
        <w:t>。</w:t>
      </w:r>
    </w:p>
    <w:p>
      <w:pPr>
        <w:pStyle w:val="5"/>
        <w:shd w:val="clear" w:color="auto" w:fill="FFFFFF"/>
        <w:spacing w:before="0" w:beforeAutospacing="0" w:after="0" w:afterAutospacing="0"/>
        <w:ind w:firstLine="480"/>
        <w:jc w:val="both"/>
        <w:rPr>
          <w:rFonts w:hint="default" w:ascii="仿宋_GB2312" w:eastAsia="仿宋_GB2312"/>
          <w:color w:val="333333"/>
          <w:sz w:val="30"/>
          <w:szCs w:val="30"/>
        </w:rPr>
      </w:pPr>
      <w:r>
        <w:rPr>
          <w:rFonts w:hint="default" w:ascii="仿宋_GB2312" w:eastAsia="仿宋_GB2312"/>
          <w:color w:val="333333"/>
          <w:sz w:val="30"/>
          <w:szCs w:val="30"/>
        </w:rPr>
        <w:t>（二）改进情况及下一步打算。一是</w:t>
      </w:r>
      <w:r>
        <w:rPr>
          <w:rFonts w:hint="eastAsia" w:ascii="仿宋_GB2312" w:eastAsia="仿宋_GB2312"/>
          <w:color w:val="333333"/>
          <w:sz w:val="30"/>
          <w:szCs w:val="30"/>
          <w:lang w:eastAsia="zh-CN"/>
        </w:rPr>
        <w:t>健全制度，提升实效</w:t>
      </w:r>
      <w:r>
        <w:rPr>
          <w:rFonts w:hint="default" w:ascii="仿宋_GB2312" w:eastAsia="仿宋_GB2312"/>
          <w:color w:val="333333"/>
          <w:sz w:val="30"/>
          <w:szCs w:val="30"/>
        </w:rPr>
        <w:t>。健全落实信息公开工作制度，信息公开工作实现制度化、规范化。</w:t>
      </w:r>
      <w:r>
        <w:rPr>
          <w:rFonts w:hint="eastAsia" w:ascii="仿宋_GB2312" w:eastAsia="仿宋_GB2312"/>
          <w:color w:val="333333"/>
          <w:sz w:val="30"/>
          <w:szCs w:val="30"/>
          <w:lang w:eastAsia="zh-CN"/>
        </w:rPr>
        <w:t>围绕重点领域加大政策解读力度、拓展公开内容、强化政务舆情回应。</w:t>
      </w:r>
      <w:r>
        <w:rPr>
          <w:rFonts w:hint="default" w:ascii="仿宋_GB2312" w:eastAsia="仿宋_GB2312"/>
          <w:color w:val="333333"/>
          <w:sz w:val="30"/>
          <w:szCs w:val="30"/>
        </w:rPr>
        <w:t>二是规范程序，完善平台。严格按照信息公开工作相关管理办法，对信息网络、信息队伍建设、信息公开的主要内容等制度提出了明确的要求。</w:t>
      </w:r>
    </w:p>
    <w:p>
      <w:pPr>
        <w:pStyle w:val="5"/>
        <w:shd w:val="clear" w:color="auto" w:fill="FFFFFF"/>
        <w:spacing w:before="0" w:beforeAutospacing="0" w:after="0" w:afterAutospacing="0"/>
        <w:ind w:firstLine="480"/>
        <w:jc w:val="both"/>
        <w:rPr>
          <w:rFonts w:hint="eastAsia" w:ascii="仿宋_GB2312" w:eastAsia="仿宋_GB2312"/>
          <w:b/>
          <w:color w:val="333333"/>
          <w:sz w:val="30"/>
          <w:szCs w:val="30"/>
        </w:rPr>
      </w:pPr>
      <w:r>
        <w:rPr>
          <w:rFonts w:hint="eastAsia" w:ascii="仿宋_GB2312" w:hAnsi="楷体" w:eastAsia="仿宋_GB2312"/>
          <w:b/>
          <w:color w:val="333333"/>
          <w:sz w:val="30"/>
          <w:szCs w:val="30"/>
        </w:rPr>
        <w:t>（六）其他需要报告的事项。</w:t>
      </w:r>
    </w:p>
    <w:p>
      <w:pPr>
        <w:ind w:firstLine="600" w:firstLineChars="200"/>
        <w:rPr>
          <w:rFonts w:hint="eastAsia" w:ascii="仿宋_GB2312" w:hAnsi="宋体" w:eastAsia="仿宋_GB2312" w:cs="宋体"/>
          <w:color w:val="333333"/>
          <w:sz w:val="30"/>
          <w:szCs w:val="30"/>
          <w:lang w:val="en-US" w:eastAsia="zh-CN" w:bidi="ar-SA"/>
        </w:rPr>
      </w:pPr>
      <w:r>
        <w:rPr>
          <w:rFonts w:hint="default" w:ascii="仿宋_GB2312" w:hAnsi="宋体" w:eastAsia="仿宋_GB2312" w:cs="宋体"/>
          <w:color w:val="333333"/>
          <w:sz w:val="30"/>
          <w:szCs w:val="30"/>
          <w:lang w:val="en-US" w:eastAsia="zh-CN" w:bidi="ar-SA"/>
        </w:rPr>
        <w:t>2022年度，本单位未收取政府信息依申处理费用。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030C"/>
    <w:rsid w:val="00280503"/>
    <w:rsid w:val="003B493F"/>
    <w:rsid w:val="006242A1"/>
    <w:rsid w:val="00677E67"/>
    <w:rsid w:val="006F29D0"/>
    <w:rsid w:val="008825B4"/>
    <w:rsid w:val="00BB69DE"/>
    <w:rsid w:val="00DE5F3A"/>
    <w:rsid w:val="00F05CD9"/>
    <w:rsid w:val="00FE6C5F"/>
    <w:rsid w:val="076536F3"/>
    <w:rsid w:val="0A432DCB"/>
    <w:rsid w:val="4E531747"/>
    <w:rsid w:val="5B512884"/>
    <w:rsid w:val="62AC1EAC"/>
    <w:rsid w:val="6CB47482"/>
    <w:rsid w:val="742A2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Arial" w:eastAsia="仿宋_GB2312" w:cs="Arial"/>
      <w:sz w:val="36"/>
      <w:szCs w:val="36"/>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sz w:val="24"/>
      <w:szCs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212</Words>
  <Characters>1213</Characters>
  <Lines>10</Lines>
  <Paragraphs>2</Paragraphs>
  <TotalTime>1</TotalTime>
  <ScaleCrop>false</ScaleCrop>
  <LinksUpToDate>false</LinksUpToDate>
  <CharactersWithSpaces>1423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2022-12-30T07:14:00Z</dcterms:created>
  <dc:creator>椒江</dc:creator>
  <cp:lastModifiedBy>椒江电力</cp:lastModifiedBy>
  <dcterms:modified xsi:type="dcterms:W3CDTF">2023-12-22T07:30:17Z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