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center"/>
        <w:rPr>
          <w:rFonts w:hint="eastAsia" w:ascii="微软雅黑" w:hAnsi="微软雅黑" w:eastAsia="微软雅黑" w:cs="微软雅黑"/>
          <w:i w:val="0"/>
          <w:caps w:val="0"/>
          <w:color w:val="333333"/>
          <w:spacing w:val="0"/>
          <w:sz w:val="37"/>
          <w:szCs w:val="37"/>
          <w:shd w:val="clear" w:fill="FFFFFF"/>
        </w:rPr>
      </w:pPr>
      <w:r>
        <w:rPr>
          <w:rFonts w:hint="eastAsia" w:ascii="微软雅黑" w:hAnsi="微软雅黑" w:eastAsia="微软雅黑" w:cs="微软雅黑"/>
          <w:i w:val="0"/>
          <w:caps w:val="0"/>
          <w:color w:val="333333"/>
          <w:spacing w:val="0"/>
          <w:sz w:val="37"/>
          <w:szCs w:val="37"/>
          <w:shd w:val="clear" w:fill="FFFFFF"/>
        </w:rPr>
        <w:t>国网台州市椒江区供电公司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center"/>
        <w:rPr>
          <w:rFonts w:hint="eastAsia" w:ascii="微软雅黑" w:hAnsi="微软雅黑" w:eastAsia="微软雅黑" w:cs="微软雅黑"/>
          <w:i w:val="0"/>
          <w:caps w:val="0"/>
          <w:color w:val="333333"/>
          <w:spacing w:val="0"/>
          <w:sz w:val="37"/>
          <w:szCs w:val="37"/>
          <w:shd w:val="clear" w:fill="FFFFFF"/>
        </w:rPr>
      </w:pPr>
      <w:r>
        <w:rPr>
          <w:rFonts w:hint="eastAsia" w:ascii="微软雅黑" w:hAnsi="微软雅黑" w:eastAsia="微软雅黑" w:cs="微软雅黑"/>
          <w:i w:val="0"/>
          <w:caps w:val="0"/>
          <w:color w:val="333333"/>
          <w:spacing w:val="0"/>
          <w:sz w:val="37"/>
          <w:szCs w:val="37"/>
          <w:shd w:val="clear" w:fill="FFFFFF"/>
        </w:rPr>
        <w:t>2021年信息公开工作年度报告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caps w:val="0"/>
          <w:color w:val="333333"/>
          <w:spacing w:val="0"/>
          <w:sz w:val="24"/>
          <w:szCs w:val="24"/>
        </w:rPr>
      </w:pPr>
      <w:r>
        <w:rPr>
          <w:rFonts w:ascii="sans-serif" w:hAnsi="sans-serif" w:eastAsia="sans-serif" w:cs="sans-serif"/>
          <w:i w:val="0"/>
          <w:caps w:val="0"/>
          <w:color w:val="333333"/>
          <w:spacing w:val="0"/>
          <w:sz w:val="24"/>
          <w:szCs w:val="24"/>
          <w:shd w:val="clear" w:fill="FFFFFF"/>
        </w:rPr>
        <w:t>根据《中华人民共和国政府信息公开条例》（以下简称《条例》）和《浙江省政府信息公开暂行办法》（以下简称《暂行办法》）规定，特向社会公布国网浙江省电力有限公司台州市椒江区供电公司</w:t>
      </w:r>
      <w:r>
        <w:rPr>
          <w:rFonts w:hint="eastAsia" w:ascii="微软雅黑" w:hAnsi="微软雅黑" w:eastAsia="微软雅黑" w:cs="微软雅黑"/>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rPr>
        <w:t>1</w:t>
      </w:r>
      <w:r>
        <w:rPr>
          <w:rFonts w:hint="default" w:ascii="sans-serif" w:hAnsi="sans-serif" w:eastAsia="sans-serif" w:cs="sans-serif"/>
          <w:i w:val="0"/>
          <w:caps w:val="0"/>
          <w:color w:val="333333"/>
          <w:spacing w:val="0"/>
          <w:sz w:val="24"/>
          <w:szCs w:val="24"/>
          <w:shd w:val="clear" w:fill="FFFFFF"/>
        </w:rPr>
        <w:t>年度报告。全文包括：总体情况、主动公开政府信息情况、收到和处理政府信息公开申请情况，政府信息公开工作被申请行政复议、提起行政诉讼情况，政府信息公开存在主要问题及改进情况和其他需要报告的事项。本年度报告中所列数据的统计期限从</w:t>
      </w:r>
      <w:r>
        <w:rPr>
          <w:rFonts w:hint="eastAsia" w:ascii="微软雅黑" w:hAnsi="微软雅黑" w:eastAsia="微软雅黑" w:cs="微软雅黑"/>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rPr>
        <w:t>1</w:t>
      </w:r>
      <w:r>
        <w:rPr>
          <w:rFonts w:hint="default" w:ascii="sans-serif" w:hAnsi="sans-serif" w:eastAsia="sans-serif" w:cs="sans-serif"/>
          <w:i w:val="0"/>
          <w:caps w:val="0"/>
          <w:color w:val="333333"/>
          <w:spacing w:val="0"/>
          <w:sz w:val="24"/>
          <w:szCs w:val="24"/>
          <w:shd w:val="clear" w:fill="FFFFFF"/>
        </w:rPr>
        <w:t>年</w:t>
      </w:r>
      <w:r>
        <w:rPr>
          <w:rFonts w:hint="eastAsia" w:ascii="微软雅黑" w:hAnsi="微软雅黑" w:eastAsia="微软雅黑" w:cs="微软雅黑"/>
          <w:i w:val="0"/>
          <w:caps w:val="0"/>
          <w:color w:val="333333"/>
          <w:spacing w:val="0"/>
          <w:sz w:val="24"/>
          <w:szCs w:val="24"/>
          <w:shd w:val="clear" w:fill="FFFFFF"/>
        </w:rPr>
        <w:t>1月1日起到2021</w:t>
      </w:r>
      <w:r>
        <w:rPr>
          <w:rFonts w:hint="default" w:ascii="sans-serif" w:hAnsi="sans-serif" w:eastAsia="sans-serif" w:cs="sans-serif"/>
          <w:i w:val="0"/>
          <w:caps w:val="0"/>
          <w:color w:val="333333"/>
          <w:spacing w:val="0"/>
          <w:sz w:val="24"/>
          <w:szCs w:val="24"/>
          <w:shd w:val="clear" w:fill="FFFFFF"/>
        </w:rPr>
        <w:t>年</w:t>
      </w:r>
      <w:r>
        <w:rPr>
          <w:rFonts w:hint="eastAsia" w:ascii="微软雅黑" w:hAnsi="微软雅黑" w:eastAsia="微软雅黑" w:cs="微软雅黑"/>
          <w:i w:val="0"/>
          <w:caps w:val="0"/>
          <w:color w:val="333333"/>
          <w:spacing w:val="0"/>
          <w:sz w:val="24"/>
          <w:szCs w:val="24"/>
          <w:shd w:val="clear" w:fill="FFFFFF"/>
        </w:rPr>
        <w:t>12月31日止。本年度报告的电子版可通过台州市椒江区政府门户网站下载。如对本报告有任何疑问，请与国网浙江省电力有限公司台州市椒江区供电公司办公室联系（地址：台州市椒江区工人东路380号，邮编：318000，联系电话：0576—88878842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2021年，国网台州市椒江区供电公司始终坚持以习近平新时代中国特色社会主义思想为指导，深入贯彻党的十九大和十九届四中、五中、六中</w:t>
      </w:r>
      <w:r>
        <w:rPr>
          <w:rFonts w:hint="default" w:ascii="sans-serif" w:hAnsi="sans-serif" w:eastAsia="sans-serif" w:cs="sans-serif"/>
          <w:i w:val="0"/>
          <w:caps w:val="0"/>
          <w:color w:val="333333"/>
          <w:spacing w:val="0"/>
          <w:sz w:val="24"/>
          <w:szCs w:val="24"/>
          <w:shd w:val="clear" w:fill="FFFFFF"/>
        </w:rPr>
        <w:t>全会精神，深入落实党中央、国务院关于全面推进政务公开工作的系列部署，按照《条例》、《暂行办法》，省、市、区</w:t>
      </w:r>
      <w:r>
        <w:rPr>
          <w:rFonts w:hint="eastAsia" w:ascii="微软雅黑" w:hAnsi="微软雅黑" w:eastAsia="微软雅黑" w:cs="微软雅黑"/>
          <w:i w:val="0"/>
          <w:caps w:val="0"/>
          <w:color w:val="333333"/>
          <w:spacing w:val="0"/>
          <w:sz w:val="24"/>
          <w:szCs w:val="24"/>
          <w:shd w:val="clear" w:fill="FFFFFF"/>
        </w:rPr>
        <w:t>2021</w:t>
      </w:r>
      <w:r>
        <w:rPr>
          <w:rFonts w:hint="default" w:ascii="sans-serif" w:hAnsi="sans-serif" w:eastAsia="sans-serif" w:cs="sans-serif"/>
          <w:i w:val="0"/>
          <w:caps w:val="0"/>
          <w:color w:val="333333"/>
          <w:spacing w:val="0"/>
          <w:sz w:val="24"/>
          <w:szCs w:val="24"/>
          <w:shd w:val="clear" w:fill="FFFFFF"/>
        </w:rPr>
        <w:t>年政务公开工作要点，切实加强组织领导，坚持</w:t>
      </w:r>
      <w:r>
        <w:rPr>
          <w:rFonts w:hint="eastAsia" w:ascii="微软雅黑" w:hAnsi="微软雅黑" w:eastAsia="微软雅黑" w:cs="微软雅黑"/>
          <w:i w:val="0"/>
          <w:caps w:val="0"/>
          <w:color w:val="333333"/>
          <w:spacing w:val="0"/>
          <w:sz w:val="24"/>
          <w:szCs w:val="24"/>
          <w:shd w:val="clear" w:fill="FFFFFF"/>
        </w:rPr>
        <w:t>“以公开为常态、不公开为例外”，不断完善工作制度，拓展公开内容，创新公开形式，强化公开监督，强化措施，优化平台，推进政务公开，取得了明显成效，政务公开的社会认同度逐步提高。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（一）完善工作机制，加强组织保障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default" w:ascii="sans-serif" w:hAnsi="sans-serif" w:eastAsia="sans-serif" w:cs="sans-serif"/>
          <w:i w:val="0"/>
          <w:caps w:val="0"/>
          <w:color w:val="333333"/>
          <w:spacing w:val="0"/>
          <w:sz w:val="24"/>
          <w:szCs w:val="24"/>
          <w:shd w:val="clear" w:fill="FFFFFF"/>
        </w:rPr>
        <w:t>根据人事变动情况，及时调整国网台州市椒江区供电公司政务公开工作领导小组，单位主要领导担任组长，优化组织机构，明确责任部室，细化责任分工，落实责任到人，强化人力保障，形成了</w:t>
      </w:r>
      <w:r>
        <w:rPr>
          <w:rFonts w:hint="eastAsia" w:ascii="微软雅黑" w:hAnsi="微软雅黑" w:eastAsia="微软雅黑" w:cs="微软雅黑"/>
          <w:i w:val="0"/>
          <w:caps w:val="0"/>
          <w:color w:val="333333"/>
          <w:spacing w:val="0"/>
          <w:sz w:val="24"/>
          <w:szCs w:val="24"/>
          <w:shd w:val="clear" w:fill="FFFFFF"/>
        </w:rPr>
        <w:t>“党政领导、部门推进、对口落实、全员参与”的领导体制和工作机制。修订信息公开实施意见，完善信息公开发布和依申请公开工作流程，更新企业信息公开指南和公开目录，进一步规范工作机制。建立健全信息公开发布审核机制，根据信息来源，按照“谁主管、谁负责”原则，切实加强信息发布保密审查，确保不发生失泄密事件。根据形势变化和工作实际，不断深化信息公开的制度建设，修改完善了《椒江供电公司信息公开指南》、《椒江供电公司信息公开目录》和椒江供电公司贯彻《供电企业信息公开实施办法》实施方案等配套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（二）畅通平台渠道，及时发布信息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及时主动做好信息发布，全年共向社会主动公开相关信息</w:t>
      </w:r>
      <w:r>
        <w:rPr>
          <w:rFonts w:hint="eastAsia" w:ascii="宋体" w:hAnsi="宋体" w:eastAsia="宋体" w:cs="宋体"/>
          <w:i w:val="0"/>
          <w:caps w:val="0"/>
          <w:color w:val="333333"/>
          <w:spacing w:val="0"/>
          <w:sz w:val="24"/>
          <w:szCs w:val="24"/>
          <w:shd w:val="clear" w:fill="FFFFFF"/>
        </w:rPr>
        <w:t>81</w:t>
      </w:r>
      <w:r>
        <w:rPr>
          <w:rFonts w:hint="eastAsia" w:ascii="微软雅黑" w:hAnsi="微软雅黑" w:eastAsia="微软雅黑" w:cs="微软雅黑"/>
          <w:i w:val="0"/>
          <w:caps w:val="0"/>
          <w:color w:val="333333"/>
          <w:spacing w:val="0"/>
          <w:sz w:val="24"/>
          <w:szCs w:val="24"/>
          <w:shd w:val="clear" w:fill="FFFFFF"/>
        </w:rPr>
        <w:t>条，收到并依规处理政府信息公开申请</w:t>
      </w:r>
      <w:r>
        <w:rPr>
          <w:rFonts w:hint="eastAsia" w:ascii="宋体" w:hAnsi="宋体" w:eastAsia="宋体" w:cs="宋体"/>
          <w:i w:val="0"/>
          <w:caps w:val="0"/>
          <w:color w:val="333333"/>
          <w:spacing w:val="0"/>
          <w:sz w:val="24"/>
          <w:szCs w:val="24"/>
          <w:shd w:val="clear" w:fill="FFFFFF"/>
        </w:rPr>
        <w:t>1</w:t>
      </w:r>
      <w:r>
        <w:rPr>
          <w:rFonts w:hint="eastAsia" w:ascii="微软雅黑" w:hAnsi="微软雅黑" w:eastAsia="微软雅黑" w:cs="微软雅黑"/>
          <w:i w:val="0"/>
          <w:caps w:val="0"/>
          <w:color w:val="333333"/>
          <w:spacing w:val="0"/>
          <w:sz w:val="24"/>
          <w:szCs w:val="24"/>
          <w:shd w:val="clear" w:fill="FFFFFF"/>
        </w:rPr>
        <w:t>条，无因政府信息公开申请行政复议、行政诉讼情况。单位领导带头，组织业务骨干和专家，分层分级走访乡村社区、企业园区，上门做好服务，主动解读政策。主动加强政府沟通，做好对上联系，向区委区政府报送工作专报</w:t>
      </w:r>
      <w:r>
        <w:rPr>
          <w:rFonts w:hint="eastAsia" w:ascii="宋体" w:hAnsi="宋体" w:eastAsia="宋体" w:cs="宋体"/>
          <w:i w:val="0"/>
          <w:caps w:val="0"/>
          <w:color w:val="333333"/>
          <w:spacing w:val="0"/>
          <w:sz w:val="24"/>
          <w:szCs w:val="24"/>
          <w:shd w:val="clear" w:fill="FFFFFF"/>
        </w:rPr>
        <w:t>8</w:t>
      </w:r>
      <w:r>
        <w:rPr>
          <w:rFonts w:hint="eastAsia" w:ascii="微软雅黑" w:hAnsi="微软雅黑" w:eastAsia="微软雅黑" w:cs="微软雅黑"/>
          <w:i w:val="0"/>
          <w:caps w:val="0"/>
          <w:color w:val="333333"/>
          <w:spacing w:val="0"/>
          <w:sz w:val="24"/>
          <w:szCs w:val="24"/>
          <w:shd w:val="clear" w:fill="FFFFFF"/>
        </w:rPr>
        <w:t>期，获上级领导肯定批示</w:t>
      </w:r>
      <w:r>
        <w:rPr>
          <w:rFonts w:hint="eastAsia" w:ascii="宋体" w:hAnsi="宋体" w:eastAsia="宋体" w:cs="宋体"/>
          <w:i w:val="0"/>
          <w:caps w:val="0"/>
          <w:color w:val="333333"/>
          <w:spacing w:val="0"/>
          <w:sz w:val="24"/>
          <w:szCs w:val="24"/>
          <w:shd w:val="clear" w:fill="FFFFFF"/>
        </w:rPr>
        <w:t>5</w:t>
      </w:r>
      <w:r>
        <w:rPr>
          <w:rFonts w:hint="default" w:ascii="sans-serif" w:hAnsi="sans-serif" w:eastAsia="sans-serif" w:cs="sans-serif"/>
          <w:i w:val="0"/>
          <w:caps w:val="0"/>
          <w:color w:val="333333"/>
          <w:spacing w:val="0"/>
          <w:sz w:val="24"/>
          <w:szCs w:val="24"/>
          <w:shd w:val="clear" w:fill="FFFFFF"/>
        </w:rPr>
        <w:t>次。多方式、多维度、多载体开展专题报道，</w:t>
      </w:r>
      <w:r>
        <w:rPr>
          <w:rFonts w:hint="eastAsia" w:ascii="微软雅黑" w:hAnsi="微软雅黑" w:eastAsia="微软雅黑" w:cs="微软雅黑"/>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rPr>
        <w:t>1</w:t>
      </w:r>
      <w:r>
        <w:rPr>
          <w:rFonts w:hint="eastAsia" w:ascii="微软雅黑" w:hAnsi="微软雅黑" w:eastAsia="微软雅黑" w:cs="微软雅黑"/>
          <w:i w:val="0"/>
          <w:caps w:val="0"/>
          <w:color w:val="333333"/>
          <w:spacing w:val="0"/>
          <w:sz w:val="24"/>
          <w:szCs w:val="24"/>
          <w:shd w:val="clear" w:fill="FFFFFF"/>
        </w:rPr>
        <w:t>年共在国家级媒体上稿</w:t>
      </w:r>
      <w:r>
        <w:rPr>
          <w:rFonts w:hint="eastAsia" w:ascii="宋体" w:hAnsi="宋体" w:eastAsia="宋体" w:cs="宋体"/>
          <w:i w:val="0"/>
          <w:caps w:val="0"/>
          <w:color w:val="333333"/>
          <w:spacing w:val="0"/>
          <w:sz w:val="24"/>
          <w:szCs w:val="24"/>
          <w:shd w:val="clear" w:fill="FFFFFF"/>
        </w:rPr>
        <w:t>37</w:t>
      </w:r>
      <w:r>
        <w:rPr>
          <w:rFonts w:hint="eastAsia" w:ascii="微软雅黑" w:hAnsi="微软雅黑" w:eastAsia="微软雅黑" w:cs="微软雅黑"/>
          <w:i w:val="0"/>
          <w:caps w:val="0"/>
          <w:color w:val="333333"/>
          <w:spacing w:val="0"/>
          <w:sz w:val="24"/>
          <w:szCs w:val="24"/>
          <w:shd w:val="clear" w:fill="FFFFFF"/>
        </w:rPr>
        <w:t>篇，省级媒体</w:t>
      </w:r>
      <w:r>
        <w:rPr>
          <w:rFonts w:hint="eastAsia" w:ascii="宋体" w:hAnsi="宋体" w:eastAsia="宋体" w:cs="宋体"/>
          <w:i w:val="0"/>
          <w:caps w:val="0"/>
          <w:color w:val="333333"/>
          <w:spacing w:val="0"/>
          <w:sz w:val="24"/>
          <w:szCs w:val="24"/>
          <w:shd w:val="clear" w:fill="FFFFFF"/>
        </w:rPr>
        <w:t>43</w:t>
      </w:r>
      <w:r>
        <w:rPr>
          <w:rFonts w:hint="default" w:ascii="sans-serif" w:hAnsi="sans-serif" w:eastAsia="sans-serif" w:cs="sans-serif"/>
          <w:i w:val="0"/>
          <w:caps w:val="0"/>
          <w:color w:val="333333"/>
          <w:spacing w:val="0"/>
          <w:sz w:val="24"/>
          <w:szCs w:val="24"/>
          <w:shd w:val="clear" w:fill="FFFFFF"/>
        </w:rPr>
        <w:t>篇，红歌快闪《灯火里的中国》《唱支山歌给党听》在央视新闻客户端、人民网、人民日报客户端、中国蓝新闻等高端权威媒体发布；援藏工作《</w:t>
      </w:r>
      <w:r>
        <w:rPr>
          <w:rFonts w:hint="eastAsia" w:ascii="微软雅黑" w:hAnsi="微软雅黑" w:eastAsia="微软雅黑" w:cs="微软雅黑"/>
          <w:i w:val="0"/>
          <w:caps w:val="0"/>
          <w:color w:val="333333"/>
          <w:spacing w:val="0"/>
          <w:sz w:val="24"/>
          <w:szCs w:val="24"/>
          <w:shd w:val="clear" w:fill="FFFFFF"/>
        </w:rPr>
        <w:t>“天下第一道班”正式接入国家大电网》在中央电视台、中国新闻社、台州日报等权威媒体发布</w:t>
      </w:r>
      <w:r>
        <w:rPr>
          <w:rFonts w:hint="eastAsia" w:ascii="宋体" w:hAnsi="宋体" w:eastAsia="宋体" w:cs="宋体"/>
          <w:i w:val="0"/>
          <w:caps w:val="0"/>
          <w:color w:val="333333"/>
          <w:spacing w:val="0"/>
          <w:sz w:val="24"/>
          <w:szCs w:val="24"/>
          <w:shd w:val="clear" w:fill="FFFFFF"/>
        </w:rPr>
        <w:t>；</w:t>
      </w:r>
      <w:r>
        <w:rPr>
          <w:rFonts w:hint="default" w:ascii="sans-serif" w:hAnsi="sans-serif" w:eastAsia="sans-serif" w:cs="sans-serif"/>
          <w:i w:val="0"/>
          <w:caps w:val="0"/>
          <w:color w:val="333333"/>
          <w:spacing w:val="0"/>
          <w:sz w:val="24"/>
          <w:szCs w:val="24"/>
          <w:shd w:val="clear" w:fill="FFFFFF"/>
        </w:rPr>
        <w:t>微电影《战台风》获台州银行杯</w:t>
      </w:r>
      <w:r>
        <w:rPr>
          <w:rFonts w:hint="eastAsia" w:ascii="微软雅黑" w:hAnsi="微软雅黑" w:eastAsia="微软雅黑" w:cs="微软雅黑"/>
          <w:i w:val="0"/>
          <w:caps w:val="0"/>
          <w:color w:val="333333"/>
          <w:spacing w:val="0"/>
          <w:sz w:val="24"/>
          <w:szCs w:val="24"/>
          <w:shd w:val="clear" w:fill="FFFFFF"/>
        </w:rPr>
        <w:t>“在台州”网络短视频大赛年度最佳短视频奖、微电影《一只旧铝铁盒》获台州银行杯“在台州”网络短视频大赛年度最佳主题短视频奖</w:t>
      </w:r>
      <w:r>
        <w:rPr>
          <w:rFonts w:hint="eastAsia" w:ascii="宋体" w:hAnsi="宋体" w:eastAsia="宋体" w:cs="宋体"/>
          <w:i w:val="0"/>
          <w:caps w:val="0"/>
          <w:color w:val="333333"/>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推动办公系统、政务服务平台、公共资源交易平台等多个平台与区政务公开平台的横向联系。全面加强网上公开信息涉及个人隐私排查，基本实现政府信息公开属性源头认定、公开内容源头审核、网上发布源头提醒，提升了政府信息全生命周期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二、主动公开政府信息情况</w:t>
      </w:r>
    </w:p>
    <w:tbl>
      <w:tblPr>
        <w:tblStyle w:val="5"/>
        <w:tblW w:w="8520" w:type="dxa"/>
        <w:tblInd w:w="0" w:type="dxa"/>
        <w:shd w:val="clear" w:color="auto" w:fill="FFFFFF"/>
        <w:tblLayout w:type="fixed"/>
        <w:tblCellMar>
          <w:top w:w="0" w:type="dxa"/>
          <w:left w:w="0" w:type="dxa"/>
          <w:bottom w:w="0" w:type="dxa"/>
          <w:right w:w="0" w:type="dxa"/>
        </w:tblCellMar>
      </w:tblPr>
      <w:tblGrid>
        <w:gridCol w:w="3405"/>
        <w:gridCol w:w="1935"/>
        <w:gridCol w:w="15"/>
        <w:gridCol w:w="1320"/>
        <w:gridCol w:w="1845"/>
      </w:tblGrid>
      <w:tr>
        <w:tblPrEx>
          <w:shd w:val="clear" w:color="auto" w:fill="FFFFFF"/>
          <w:tblLayout w:type="fixed"/>
          <w:tblCellMar>
            <w:top w:w="0" w:type="dxa"/>
            <w:left w:w="0" w:type="dxa"/>
            <w:bottom w:w="0" w:type="dxa"/>
            <w:right w:w="0" w:type="dxa"/>
          </w:tblCellMar>
        </w:tblPrEx>
        <w:trPr>
          <w:trHeight w:val="570" w:hRule="atLeast"/>
        </w:trPr>
        <w:tc>
          <w:tcPr>
            <w:tcW w:w="8520" w:type="dxa"/>
            <w:gridSpan w:val="5"/>
            <w:tcBorders>
              <w:top w:val="single" w:color="auto" w:sz="6" w:space="0"/>
              <w:left w:val="single" w:color="auto" w:sz="6" w:space="0"/>
              <w:bottom w:val="single" w:color="auto" w:sz="6" w:space="0"/>
              <w:right w:val="single" w:color="auto"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ascii="Calibri" w:hAnsi="Calibri" w:eastAsia="微软雅黑" w:cs="Calibri"/>
                <w:i w:val="0"/>
                <w:caps w:val="0"/>
                <w:color w:val="333333"/>
                <w:spacing w:val="0"/>
                <w:sz w:val="24"/>
                <w:szCs w:val="24"/>
              </w:rPr>
              <w:t>第二十条第（一）项</w:t>
            </w:r>
          </w:p>
        </w:tc>
      </w:tr>
      <w:tr>
        <w:tblPrEx>
          <w:tblLayout w:type="fixed"/>
          <w:tblCellMar>
            <w:top w:w="0" w:type="dxa"/>
            <w:left w:w="0" w:type="dxa"/>
            <w:bottom w:w="0" w:type="dxa"/>
            <w:right w:w="0" w:type="dxa"/>
          </w:tblCellMar>
        </w:tblPrEx>
        <w:trPr>
          <w:trHeight w:val="66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信息内容</w:t>
            </w:r>
          </w:p>
        </w:tc>
        <w:tc>
          <w:tcPr>
            <w:tcW w:w="19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本年新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制作数量</w:t>
            </w:r>
          </w:p>
        </w:tc>
        <w:tc>
          <w:tcPr>
            <w:tcW w:w="13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本年新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公开数量</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对外公开总数量</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规章</w:t>
            </w:r>
          </w:p>
        </w:tc>
        <w:tc>
          <w:tcPr>
            <w:tcW w:w="19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3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规范性文件</w:t>
            </w:r>
          </w:p>
        </w:tc>
        <w:tc>
          <w:tcPr>
            <w:tcW w:w="19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3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8520" w:type="dxa"/>
            <w:gridSpan w:val="5"/>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第二十条第（五）项</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信息内容</w:t>
            </w:r>
          </w:p>
        </w:tc>
        <w:tc>
          <w:tcPr>
            <w:tcW w:w="19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上一年项目数量</w:t>
            </w:r>
          </w:p>
        </w:tc>
        <w:tc>
          <w:tcPr>
            <w:tcW w:w="13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本年增/</w:t>
            </w:r>
            <w:r>
              <w:rPr>
                <w:rFonts w:hint="eastAsia" w:ascii="宋体" w:hAnsi="宋体" w:eastAsia="宋体" w:cs="宋体"/>
                <w:i w:val="0"/>
                <w:caps w:val="0"/>
                <w:color w:val="333333"/>
                <w:spacing w:val="0"/>
                <w:sz w:val="24"/>
                <w:szCs w:val="24"/>
              </w:rPr>
              <w:t>减</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处理决定数量</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行政许可</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其他对外管理服务事项</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8520" w:type="dxa"/>
            <w:gridSpan w:val="5"/>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第二十条第（六）项</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信息内容</w:t>
            </w:r>
          </w:p>
        </w:tc>
        <w:tc>
          <w:tcPr>
            <w:tcW w:w="19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上一年项目数量</w:t>
            </w:r>
          </w:p>
        </w:tc>
        <w:tc>
          <w:tcPr>
            <w:tcW w:w="13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本年增/</w:t>
            </w:r>
            <w:r>
              <w:rPr>
                <w:rFonts w:hint="eastAsia" w:ascii="宋体" w:hAnsi="宋体" w:eastAsia="宋体" w:cs="宋体"/>
                <w:i w:val="0"/>
                <w:caps w:val="0"/>
                <w:color w:val="333333"/>
                <w:spacing w:val="0"/>
                <w:sz w:val="24"/>
                <w:szCs w:val="24"/>
              </w:rPr>
              <w:t>减</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处理决定数量</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行政处罚</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行政强制</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3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1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8520" w:type="dxa"/>
            <w:gridSpan w:val="5"/>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第二十条第（八）项</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信息内容</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上一年项目数量</w:t>
            </w:r>
          </w:p>
        </w:tc>
        <w:tc>
          <w:tcPr>
            <w:tcW w:w="3165" w:type="dxa"/>
            <w:gridSpan w:val="2"/>
            <w:tcBorders>
              <w:top w:val="single" w:color="auto" w:sz="6" w:space="0"/>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本年增/</w:t>
            </w:r>
            <w:r>
              <w:rPr>
                <w:rFonts w:hint="eastAsia" w:ascii="宋体" w:hAnsi="宋体" w:eastAsia="宋体" w:cs="宋体"/>
                <w:i w:val="0"/>
                <w:caps w:val="0"/>
                <w:color w:val="333333"/>
                <w:spacing w:val="0"/>
                <w:sz w:val="24"/>
                <w:szCs w:val="24"/>
              </w:rPr>
              <w:t>减</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行政事业性收费</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165" w:type="dxa"/>
            <w:gridSpan w:val="2"/>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Layout w:type="fixed"/>
          <w:tblCellMar>
            <w:top w:w="0" w:type="dxa"/>
            <w:left w:w="0" w:type="dxa"/>
            <w:bottom w:w="0" w:type="dxa"/>
            <w:right w:w="0" w:type="dxa"/>
          </w:tblCellMar>
        </w:tblPrEx>
        <w:trPr>
          <w:trHeight w:val="420" w:hRule="atLeast"/>
        </w:trPr>
        <w:tc>
          <w:tcPr>
            <w:tcW w:w="8520" w:type="dxa"/>
            <w:gridSpan w:val="5"/>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第二十条第（九）项</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信息内容</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采购项目数量</w:t>
            </w:r>
          </w:p>
        </w:tc>
        <w:tc>
          <w:tcPr>
            <w:tcW w:w="3165" w:type="dxa"/>
            <w:gridSpan w:val="2"/>
            <w:tcBorders>
              <w:top w:val="single" w:color="auto" w:sz="6" w:space="0"/>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采购总金额</w:t>
            </w:r>
          </w:p>
        </w:tc>
      </w:tr>
      <w:tr>
        <w:tblPrEx>
          <w:tblLayout w:type="fixed"/>
          <w:tblCellMar>
            <w:top w:w="0" w:type="dxa"/>
            <w:left w:w="0" w:type="dxa"/>
            <w:bottom w:w="0" w:type="dxa"/>
            <w:right w:w="0" w:type="dxa"/>
          </w:tblCellMar>
        </w:tblPrEx>
        <w:trPr>
          <w:trHeight w:val="420" w:hRule="atLeast"/>
        </w:trPr>
        <w:tc>
          <w:tcPr>
            <w:tcW w:w="34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政府集中采购</w:t>
            </w:r>
          </w:p>
        </w:tc>
        <w:tc>
          <w:tcPr>
            <w:tcW w:w="19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165" w:type="dxa"/>
            <w:gridSpan w:val="2"/>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三、收到和处理政府信息公开申请情况</w:t>
      </w:r>
    </w:p>
    <w:tbl>
      <w:tblPr>
        <w:tblStyle w:val="5"/>
        <w:tblW w:w="832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15"/>
        <w:gridCol w:w="1410"/>
        <w:gridCol w:w="2400"/>
        <w:gridCol w:w="540"/>
        <w:gridCol w:w="540"/>
        <w:gridCol w:w="540"/>
        <w:gridCol w:w="705"/>
        <w:gridCol w:w="705"/>
        <w:gridCol w:w="540"/>
        <w:gridCol w:w="3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05" w:hRule="atLeast"/>
        </w:trPr>
        <w:tc>
          <w:tcPr>
            <w:tcW w:w="4425"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（本列数据的勾稽关系为：</w:t>
            </w:r>
            <w:r>
              <w:rPr>
                <w:rFonts w:hint="default" w:ascii="Calibri" w:hAnsi="Calibri" w:eastAsia="微软雅黑" w:cs="Calibri"/>
                <w:i w:val="0"/>
                <w:caps w:val="0"/>
                <w:color w:val="333333"/>
                <w:spacing w:val="0"/>
                <w:sz w:val="24"/>
                <w:szCs w:val="24"/>
              </w:rPr>
              <w:br w:type="textWrapping"/>
            </w:r>
            <w:r>
              <w:rPr>
                <w:rFonts w:hint="default" w:ascii="Calibri" w:hAnsi="Calibri" w:eastAsia="微软雅黑" w:cs="Calibri"/>
                <w:i w:val="0"/>
                <w:caps w:val="0"/>
                <w:color w:val="333333"/>
                <w:spacing w:val="0"/>
                <w:sz w:val="24"/>
                <w:szCs w:val="24"/>
              </w:rPr>
              <w:t>第一项加第二项之和，等于第三项</w:t>
            </w:r>
            <w:r>
              <w:rPr>
                <w:rFonts w:hint="default" w:ascii="Calibri" w:hAnsi="Calibri" w:eastAsia="微软雅黑" w:cs="Calibri"/>
                <w:i w:val="0"/>
                <w:caps w:val="0"/>
                <w:color w:val="333333"/>
                <w:spacing w:val="0"/>
                <w:sz w:val="24"/>
                <w:szCs w:val="24"/>
              </w:rPr>
              <w:br w:type="textWrapping"/>
            </w:r>
            <w:r>
              <w:rPr>
                <w:rFonts w:hint="default" w:ascii="Calibri" w:hAnsi="Calibri" w:eastAsia="微软雅黑" w:cs="Calibri"/>
                <w:i w:val="0"/>
                <w:caps w:val="0"/>
                <w:color w:val="333333"/>
                <w:spacing w:val="0"/>
                <w:sz w:val="24"/>
                <w:szCs w:val="24"/>
              </w:rPr>
              <w:t>加第四项之和）</w:t>
            </w:r>
          </w:p>
        </w:tc>
        <w:tc>
          <w:tcPr>
            <w:tcW w:w="3900" w:type="dxa"/>
            <w:gridSpan w:val="7"/>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4425"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54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自然人</w:t>
            </w:r>
          </w:p>
        </w:tc>
        <w:tc>
          <w:tcPr>
            <w:tcW w:w="3030" w:type="dxa"/>
            <w:gridSpan w:val="5"/>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法人或其他组织</w:t>
            </w:r>
          </w:p>
        </w:tc>
        <w:tc>
          <w:tcPr>
            <w:tcW w:w="330" w:type="dxa"/>
            <w:vMerge w:val="restart"/>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rPr>
        <w:tc>
          <w:tcPr>
            <w:tcW w:w="4425"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54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商业企业</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科研机构</w:t>
            </w:r>
          </w:p>
        </w:tc>
        <w:tc>
          <w:tcPr>
            <w:tcW w:w="705"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社会公益组织</w:t>
            </w:r>
          </w:p>
        </w:tc>
        <w:tc>
          <w:tcPr>
            <w:tcW w:w="705"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法律服务机构</w:t>
            </w:r>
          </w:p>
        </w:tc>
        <w:tc>
          <w:tcPr>
            <w:tcW w:w="540"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其他</w:t>
            </w:r>
          </w:p>
        </w:tc>
        <w:tc>
          <w:tcPr>
            <w:tcW w:w="330" w:type="dxa"/>
            <w:vMerge w:val="continue"/>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4425" w:type="dxa"/>
            <w:gridSpan w:val="3"/>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一、本年新收政府信息公开申请数量</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caps w:val="0"/>
                <w:color w:val="333333"/>
                <w:spacing w:val="0"/>
                <w:sz w:val="24"/>
                <w:szCs w:val="24"/>
              </w:rPr>
              <w:t>1</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caps w:val="0"/>
                <w:color w:val="333333"/>
                <w:spacing w:val="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4425" w:type="dxa"/>
            <w:gridSpan w:val="3"/>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二、上年结转政府信息公开申请数量</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restart"/>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三、本年度办理结果</w:t>
            </w:r>
          </w:p>
        </w:tc>
        <w:tc>
          <w:tcPr>
            <w:tcW w:w="3810" w:type="dxa"/>
            <w:gridSpan w:val="2"/>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（一）予以公开</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caps w:val="0"/>
                <w:color w:val="333333"/>
                <w:spacing w:val="0"/>
                <w:sz w:val="24"/>
                <w:szCs w:val="24"/>
              </w:rPr>
              <w:t>1</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caps w:val="0"/>
                <w:color w:val="333333"/>
                <w:spacing w:val="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3810" w:type="dxa"/>
            <w:gridSpan w:val="2"/>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（二）部分公开（区分处理的，只计这一情形，不计其他情形）</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（三）不予公开</w:t>
            </w: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1.</w:t>
            </w:r>
            <w:r>
              <w:rPr>
                <w:rFonts w:hint="eastAsia" w:ascii="宋体" w:hAnsi="宋体" w:eastAsia="宋体" w:cs="宋体"/>
                <w:i w:val="0"/>
                <w:caps w:val="0"/>
                <w:color w:val="333333"/>
                <w:spacing w:val="0"/>
                <w:sz w:val="24"/>
                <w:szCs w:val="24"/>
              </w:rPr>
              <w:t>属于国家秘密</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2.</w:t>
            </w:r>
            <w:r>
              <w:rPr>
                <w:rFonts w:hint="eastAsia" w:ascii="宋体" w:hAnsi="宋体" w:eastAsia="宋体" w:cs="宋体"/>
                <w:i w:val="0"/>
                <w:caps w:val="0"/>
                <w:color w:val="333333"/>
                <w:spacing w:val="0"/>
                <w:sz w:val="24"/>
                <w:szCs w:val="24"/>
              </w:rPr>
              <w:t>其他法律行政法规禁止公开</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3.</w:t>
            </w:r>
            <w:r>
              <w:rPr>
                <w:rFonts w:hint="eastAsia" w:ascii="宋体" w:hAnsi="宋体" w:eastAsia="宋体" w:cs="宋体"/>
                <w:i w:val="0"/>
                <w:caps w:val="0"/>
                <w:color w:val="333333"/>
                <w:spacing w:val="0"/>
                <w:sz w:val="24"/>
                <w:szCs w:val="24"/>
              </w:rPr>
              <w:t>危及</w:t>
            </w:r>
            <w:r>
              <w:rPr>
                <w:rFonts w:hint="default" w:ascii="Calibri" w:hAnsi="Calibri" w:eastAsia="微软雅黑" w:cs="Calibri"/>
                <w:i w:val="0"/>
                <w:caps w:val="0"/>
                <w:color w:val="333333"/>
                <w:spacing w:val="0"/>
                <w:sz w:val="24"/>
                <w:szCs w:val="24"/>
              </w:rPr>
              <w:t>“</w:t>
            </w:r>
            <w:r>
              <w:rPr>
                <w:rFonts w:hint="eastAsia" w:ascii="宋体" w:hAnsi="宋体" w:eastAsia="宋体" w:cs="宋体"/>
                <w:i w:val="0"/>
                <w:caps w:val="0"/>
                <w:color w:val="333333"/>
                <w:spacing w:val="0"/>
                <w:sz w:val="24"/>
                <w:szCs w:val="24"/>
              </w:rPr>
              <w:t>三安全一稳定</w:t>
            </w:r>
            <w:r>
              <w:rPr>
                <w:rFonts w:hint="default" w:ascii="Calibri" w:hAnsi="Calibri" w:eastAsia="微软雅黑" w:cs="Calibri"/>
                <w:i w:val="0"/>
                <w:caps w:val="0"/>
                <w:color w:val="333333"/>
                <w:spacing w:val="0"/>
                <w:sz w:val="24"/>
                <w:szCs w:val="24"/>
              </w:rPr>
              <w:t>”</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4.</w:t>
            </w:r>
            <w:r>
              <w:rPr>
                <w:rFonts w:hint="eastAsia" w:ascii="宋体" w:hAnsi="宋体" w:eastAsia="宋体" w:cs="宋体"/>
                <w:i w:val="0"/>
                <w:caps w:val="0"/>
                <w:color w:val="333333"/>
                <w:spacing w:val="0"/>
                <w:sz w:val="24"/>
                <w:szCs w:val="24"/>
              </w:rPr>
              <w:t>保护第三方合法权益</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5.</w:t>
            </w:r>
            <w:r>
              <w:rPr>
                <w:rFonts w:hint="eastAsia" w:ascii="宋体" w:hAnsi="宋体" w:eastAsia="宋体" w:cs="宋体"/>
                <w:i w:val="0"/>
                <w:caps w:val="0"/>
                <w:color w:val="333333"/>
                <w:spacing w:val="0"/>
                <w:sz w:val="24"/>
                <w:szCs w:val="24"/>
              </w:rPr>
              <w:t>属于三类内部事务信息</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6.</w:t>
            </w:r>
            <w:r>
              <w:rPr>
                <w:rFonts w:hint="eastAsia" w:ascii="宋体" w:hAnsi="宋体" w:eastAsia="宋体" w:cs="宋体"/>
                <w:i w:val="0"/>
                <w:caps w:val="0"/>
                <w:color w:val="333333"/>
                <w:spacing w:val="0"/>
                <w:sz w:val="24"/>
                <w:szCs w:val="24"/>
              </w:rPr>
              <w:t>属于四类过程性信息</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7.</w:t>
            </w:r>
            <w:r>
              <w:rPr>
                <w:rFonts w:hint="eastAsia" w:ascii="宋体" w:hAnsi="宋体" w:eastAsia="宋体" w:cs="宋体"/>
                <w:i w:val="0"/>
                <w:caps w:val="0"/>
                <w:color w:val="333333"/>
                <w:spacing w:val="0"/>
                <w:sz w:val="24"/>
                <w:szCs w:val="24"/>
              </w:rPr>
              <w:t>属于行政执法案卷</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8.</w:t>
            </w:r>
            <w:r>
              <w:rPr>
                <w:rFonts w:hint="eastAsia" w:ascii="宋体" w:hAnsi="宋体" w:eastAsia="宋体" w:cs="宋体"/>
                <w:i w:val="0"/>
                <w:caps w:val="0"/>
                <w:color w:val="333333"/>
                <w:spacing w:val="0"/>
                <w:sz w:val="24"/>
                <w:szCs w:val="24"/>
              </w:rPr>
              <w:t>属于行政查询事项</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（四）无法提供</w:t>
            </w: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1.</w:t>
            </w:r>
            <w:r>
              <w:rPr>
                <w:rFonts w:hint="eastAsia" w:ascii="宋体" w:hAnsi="宋体" w:eastAsia="宋体" w:cs="宋体"/>
                <w:i w:val="0"/>
                <w:caps w:val="0"/>
                <w:color w:val="333333"/>
                <w:spacing w:val="0"/>
                <w:sz w:val="24"/>
                <w:szCs w:val="24"/>
              </w:rPr>
              <w:t>本机关不掌握相关政府信息</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2.</w:t>
            </w:r>
            <w:r>
              <w:rPr>
                <w:rFonts w:hint="eastAsia" w:ascii="宋体" w:hAnsi="宋体" w:eastAsia="宋体" w:cs="宋体"/>
                <w:i w:val="0"/>
                <w:caps w:val="0"/>
                <w:color w:val="333333"/>
                <w:spacing w:val="0"/>
                <w:sz w:val="24"/>
                <w:szCs w:val="24"/>
              </w:rPr>
              <w:t>没有现成信息需要另行制作</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3.</w:t>
            </w:r>
            <w:r>
              <w:rPr>
                <w:rFonts w:hint="eastAsia" w:ascii="宋体" w:hAnsi="宋体" w:eastAsia="宋体" w:cs="宋体"/>
                <w:i w:val="0"/>
                <w:caps w:val="0"/>
                <w:color w:val="333333"/>
                <w:spacing w:val="0"/>
                <w:sz w:val="24"/>
                <w:szCs w:val="24"/>
              </w:rPr>
              <w:t>补正后申请内容仍不明确</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（五）不予处理</w:t>
            </w: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1.</w:t>
            </w:r>
            <w:r>
              <w:rPr>
                <w:rFonts w:hint="eastAsia" w:ascii="宋体" w:hAnsi="宋体" w:eastAsia="宋体" w:cs="宋体"/>
                <w:i w:val="0"/>
                <w:caps w:val="0"/>
                <w:color w:val="333333"/>
                <w:spacing w:val="0"/>
                <w:sz w:val="24"/>
                <w:szCs w:val="24"/>
              </w:rPr>
              <w:t>信访举报投诉类申请</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2.</w:t>
            </w:r>
            <w:r>
              <w:rPr>
                <w:rFonts w:hint="eastAsia" w:ascii="宋体" w:hAnsi="宋体" w:eastAsia="宋体" w:cs="宋体"/>
                <w:i w:val="0"/>
                <w:caps w:val="0"/>
                <w:color w:val="333333"/>
                <w:spacing w:val="0"/>
                <w:sz w:val="24"/>
                <w:szCs w:val="24"/>
              </w:rPr>
              <w:t>重复申请</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3.</w:t>
            </w:r>
            <w:r>
              <w:rPr>
                <w:rFonts w:hint="eastAsia" w:ascii="宋体" w:hAnsi="宋体" w:eastAsia="宋体" w:cs="宋体"/>
                <w:i w:val="0"/>
                <w:caps w:val="0"/>
                <w:color w:val="333333"/>
                <w:spacing w:val="0"/>
                <w:sz w:val="24"/>
                <w:szCs w:val="24"/>
              </w:rPr>
              <w:t>要求提供公开出版物</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4.</w:t>
            </w:r>
            <w:r>
              <w:rPr>
                <w:rFonts w:hint="eastAsia" w:ascii="宋体" w:hAnsi="宋体" w:eastAsia="宋体" w:cs="宋体"/>
                <w:i w:val="0"/>
                <w:caps w:val="0"/>
                <w:color w:val="333333"/>
                <w:spacing w:val="0"/>
                <w:sz w:val="24"/>
                <w:szCs w:val="24"/>
              </w:rPr>
              <w:t>无正当理由大量反复申请</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141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240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5.</w:t>
            </w:r>
            <w:r>
              <w:rPr>
                <w:rFonts w:hint="eastAsia" w:ascii="宋体" w:hAnsi="宋体" w:eastAsia="宋体" w:cs="宋体"/>
                <w:i w:val="0"/>
                <w:caps w:val="0"/>
                <w:color w:val="333333"/>
                <w:spacing w:val="0"/>
                <w:sz w:val="24"/>
                <w:szCs w:val="24"/>
              </w:rPr>
              <w:t>要求行政机关确认或重新出具已获取信息</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3810" w:type="dxa"/>
            <w:gridSpan w:val="2"/>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（六）其他处理</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61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333333"/>
                <w:spacing w:val="0"/>
                <w:sz w:val="24"/>
                <w:szCs w:val="24"/>
              </w:rPr>
            </w:pPr>
          </w:p>
        </w:tc>
        <w:tc>
          <w:tcPr>
            <w:tcW w:w="3810" w:type="dxa"/>
            <w:gridSpan w:val="2"/>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（七）总计</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caps w:val="0"/>
                <w:color w:val="333333"/>
                <w:spacing w:val="0"/>
                <w:sz w:val="24"/>
                <w:szCs w:val="24"/>
              </w:rPr>
              <w:t>1</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caps w:val="0"/>
                <w:color w:val="333333"/>
                <w:spacing w:val="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4425" w:type="dxa"/>
            <w:gridSpan w:val="3"/>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四、结转下年度继续办理</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7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54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c>
          <w:tcPr>
            <w:tcW w:w="33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eastAsia="微软雅黑" w:cs="Calibri"/>
                <w:i w:val="0"/>
                <w:caps w:val="0"/>
                <w:color w:val="333333"/>
                <w:spacing w:val="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四、政府信息公开工作被申请行政复议、提起行政诉讼情况</w:t>
      </w:r>
    </w:p>
    <w:tbl>
      <w:tblPr>
        <w:tblStyle w:val="5"/>
        <w:tblW w:w="8520"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05"/>
        <w:gridCol w:w="705"/>
        <w:gridCol w:w="705"/>
        <w:gridCol w:w="720"/>
        <w:gridCol w:w="705"/>
        <w:gridCol w:w="705"/>
        <w:gridCol w:w="705"/>
        <w:gridCol w:w="720"/>
        <w:gridCol w:w="705"/>
        <w:gridCol w:w="705"/>
        <w:gridCol w:w="705"/>
        <w:gridCol w:w="7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83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行政复议</w:t>
            </w:r>
          </w:p>
        </w:tc>
        <w:tc>
          <w:tcPr>
            <w:tcW w:w="5685" w:type="dxa"/>
            <w:gridSpan w:val="8"/>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结果维持</w:t>
            </w:r>
          </w:p>
        </w:tc>
        <w:tc>
          <w:tcPr>
            <w:tcW w:w="70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结果纠正</w:t>
            </w:r>
          </w:p>
        </w:tc>
        <w:tc>
          <w:tcPr>
            <w:tcW w:w="7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其他结果</w:t>
            </w:r>
          </w:p>
        </w:tc>
        <w:tc>
          <w:tcPr>
            <w:tcW w:w="72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尚未审结</w:t>
            </w:r>
          </w:p>
        </w:tc>
        <w:tc>
          <w:tcPr>
            <w:tcW w:w="2835" w:type="dxa"/>
            <w:gridSpan w:val="4"/>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未经复议直接起诉</w:t>
            </w:r>
          </w:p>
        </w:tc>
        <w:tc>
          <w:tcPr>
            <w:tcW w:w="2850" w:type="dxa"/>
            <w:gridSpan w:val="4"/>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0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70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7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72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结果维持</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结果纠正</w:t>
            </w:r>
          </w:p>
        </w:tc>
        <w:tc>
          <w:tcPr>
            <w:tcW w:w="70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其他结果</w:t>
            </w:r>
          </w:p>
        </w:tc>
        <w:tc>
          <w:tcPr>
            <w:tcW w:w="72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尚未审结</w:t>
            </w:r>
          </w:p>
        </w:tc>
        <w:tc>
          <w:tcPr>
            <w:tcW w:w="70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结果维持</w:t>
            </w:r>
          </w:p>
        </w:tc>
        <w:tc>
          <w:tcPr>
            <w:tcW w:w="70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结果纠正</w:t>
            </w:r>
          </w:p>
        </w:tc>
        <w:tc>
          <w:tcPr>
            <w:tcW w:w="70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其他结果</w:t>
            </w:r>
          </w:p>
        </w:tc>
        <w:tc>
          <w:tcPr>
            <w:tcW w:w="73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尚未审结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c>
          <w:tcPr>
            <w:tcW w:w="73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Calibri" w:hAnsi="Calibri" w:cs="Calibri"/>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五、政府信息公开存在主要问题及改进情况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存在主要问题。一是公开内容有待进一步充实完善。存在“重形式轻内容”，避重就轻，没有严格按照政务公开要点和目录权限进行挂网。二是信息发布的速度和实效性有待进一步加强。前置保密审查环节仍有提升空间，信息公开的平台还不够丰富，容易造成工作被动和负面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改进情况及下一步打算。一是提高认识，加强领导。加强对政务公开工作的领导和监督，把信息公开工作列入重要议事日程，研究新问题，提出新举措，对公开形式、内容提出指导性意见。二是规范程序，完善平台。严格按照信息公开工作相关管理办法，对信息网络、信息队伍建设、信息公开的主要内容等制度提出了明确的要求。健全落实信息公开工作制度，信息公开工作实现制度化、规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2021年度，本机关未收取政府信息依申请处理费用。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45806"/>
    <w:rsid w:val="3B03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jjdl</dc:creator>
  <cp:lastModifiedBy>椒江电力</cp:lastModifiedBy>
  <dcterms:modified xsi:type="dcterms:W3CDTF">2023-12-22T07:27:55Z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