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rPr>
          <w:rFonts w:ascii="Times New Roman" w:hAnsi="Times New Roman" w:eastAsia="黑体" w:cs="Times New Roman"/>
        </w:rPr>
      </w:pPr>
      <w:r>
        <w:rPr>
          <w:rFonts w:ascii="Times New Roman" w:hAnsi="Times New Roman" w:eastAsia="黑体" w:cs="Times New Roman"/>
        </w:rPr>
        <w:t xml:space="preserve">附件 </w:t>
      </w:r>
      <w:r>
        <w:rPr>
          <w:rFonts w:hint="eastAsia" w:ascii="Times New Roman" w:hAnsi="Times New Roman" w:eastAsia="黑体" w:cs="Times New Roman"/>
        </w:rPr>
        <w:t>2</w:t>
      </w:r>
    </w:p>
    <w:p>
      <w:pPr>
        <w:pStyle w:val="13"/>
        <w:ind w:right="2597"/>
        <w:rPr>
          <w:rFonts w:hAnsi="Times New Roman" w:cs="Times New Roman"/>
          <w:i w:val="0"/>
          <w:spacing w:val="-10"/>
        </w:rPr>
      </w:pPr>
      <w:r>
        <w:rPr>
          <w:rFonts w:hint="eastAsia" w:hAnsi="Times New Roman" w:cs="Times New Roman"/>
          <w:i w:val="0"/>
          <w:spacing w:val="-10"/>
        </w:rPr>
        <w:t>2023</w:t>
      </w:r>
      <w:r>
        <w:rPr>
          <w:rFonts w:hint="eastAsia" w:cs="Times New Roman"/>
          <w:i w:val="0"/>
          <w:spacing w:val="-10"/>
        </w:rPr>
        <w:t>年政府工作报告目标任务完成情况填报表</w:t>
      </w:r>
    </w:p>
    <w:p>
      <w:pPr>
        <w:pStyle w:val="3"/>
        <w:spacing w:before="13"/>
        <w:rPr>
          <w:rFonts w:ascii="Times New Roman" w:hAnsi="Times New Roman" w:cs="Times New Roman"/>
          <w:i/>
          <w:sz w:val="37"/>
        </w:rPr>
      </w:pPr>
    </w:p>
    <w:p>
      <w:pPr>
        <w:tabs>
          <w:tab w:val="left" w:pos="9356"/>
        </w:tabs>
        <w:spacing w:after="40"/>
        <w:ind w:left="116"/>
        <w:rPr>
          <w:rFonts w:hint="eastAsia" w:eastAsia="宋体"/>
          <w:sz w:val="28"/>
          <w:lang w:eastAsia="zh-CN"/>
        </w:rPr>
      </w:pPr>
      <w:r>
        <w:rPr>
          <w:sz w:val="28"/>
        </w:rPr>
        <w:t>填</w:t>
      </w:r>
      <w:r>
        <w:rPr>
          <w:spacing w:val="-3"/>
          <w:sz w:val="28"/>
        </w:rPr>
        <w:t>报</w:t>
      </w:r>
      <w:r>
        <w:rPr>
          <w:sz w:val="28"/>
        </w:rPr>
        <w:t>单位：（盖</w:t>
      </w:r>
      <w:r>
        <w:rPr>
          <w:spacing w:val="-3"/>
          <w:sz w:val="28"/>
        </w:rPr>
        <w:t>章</w:t>
      </w:r>
      <w:r>
        <w:rPr>
          <w:sz w:val="28"/>
        </w:rPr>
        <w:t>）</w:t>
      </w:r>
      <w:r>
        <w:rPr>
          <w:rFonts w:hint="eastAsia"/>
          <w:sz w:val="28"/>
          <w:lang w:eastAsia="zh-CN"/>
        </w:rPr>
        <w:t>台州市椒江区卫生健康局</w:t>
      </w:r>
      <w:r>
        <w:rPr>
          <w:sz w:val="28"/>
        </w:rPr>
        <w:tab/>
      </w:r>
      <w:r>
        <w:rPr>
          <w:sz w:val="28"/>
        </w:rPr>
        <w:t>签</w:t>
      </w:r>
      <w:r>
        <w:rPr>
          <w:spacing w:val="-3"/>
          <w:sz w:val="28"/>
        </w:rPr>
        <w:t>发</w:t>
      </w:r>
      <w:r>
        <w:rPr>
          <w:sz w:val="28"/>
        </w:rPr>
        <w:t>人：</w:t>
      </w:r>
      <w:r>
        <w:rPr>
          <w:rFonts w:hint="eastAsia"/>
          <w:sz w:val="28"/>
          <w:lang w:eastAsia="zh-CN"/>
        </w:rPr>
        <w:t>严邦星</w:t>
      </w:r>
      <w:bookmarkStart w:id="0" w:name="_GoBack"/>
      <w:bookmarkEnd w:id="0"/>
    </w:p>
    <w:tbl>
      <w:tblPr>
        <w:tblStyle w:val="7"/>
        <w:tblW w:w="14176" w:type="dxa"/>
        <w:tblInd w:w="-127"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56"/>
        <w:gridCol w:w="1920"/>
        <w:gridCol w:w="8190"/>
        <w:gridCol w:w="1200"/>
        <w:gridCol w:w="990"/>
        <w:gridCol w:w="10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2776" w:type="dxa"/>
            <w:gridSpan w:val="2"/>
            <w:vAlign w:val="center"/>
          </w:tcPr>
          <w:p>
            <w:pPr>
              <w:pStyle w:val="15"/>
              <w:jc w:val="center"/>
              <w:rPr>
                <w:rFonts w:ascii="Times New Roman" w:hAnsi="Times New Roman" w:cs="Times New Roman"/>
                <w:sz w:val="24"/>
              </w:rPr>
            </w:pPr>
            <w:r>
              <w:rPr>
                <w:rFonts w:ascii="Times New Roman" w:cs="Times New Roman"/>
                <w:sz w:val="24"/>
              </w:rPr>
              <w:t>目标任务</w:t>
            </w:r>
          </w:p>
        </w:tc>
        <w:tc>
          <w:tcPr>
            <w:tcW w:w="8190" w:type="dxa"/>
            <w:vAlign w:val="center"/>
          </w:tcPr>
          <w:p>
            <w:pPr>
              <w:pStyle w:val="15"/>
              <w:jc w:val="center"/>
              <w:rPr>
                <w:rFonts w:ascii="Times New Roman" w:hAnsi="Times New Roman" w:cs="Times New Roman"/>
                <w:sz w:val="24"/>
              </w:rPr>
            </w:pPr>
            <w:r>
              <w:rPr>
                <w:rFonts w:ascii="Times New Roman" w:cs="Times New Roman"/>
                <w:sz w:val="24"/>
              </w:rPr>
              <w:t>完成情况</w:t>
            </w:r>
          </w:p>
          <w:p>
            <w:pPr>
              <w:pStyle w:val="15"/>
              <w:jc w:val="center"/>
              <w:rPr>
                <w:rFonts w:ascii="Times New Roman" w:hAnsi="Times New Roman" w:cs="Times New Roman"/>
                <w:sz w:val="24"/>
              </w:rPr>
            </w:pPr>
            <w:r>
              <w:rPr>
                <w:rFonts w:ascii="Times New Roman" w:cs="Times New Roman"/>
                <w:sz w:val="24"/>
              </w:rPr>
              <w:t>（</w:t>
            </w:r>
            <w:r>
              <w:rPr>
                <w:rFonts w:ascii="Times New Roman" w:hAnsi="Times New Roman" w:cs="Times New Roman"/>
                <w:sz w:val="24"/>
              </w:rPr>
              <w:t>300</w:t>
            </w:r>
            <w:r>
              <w:rPr>
                <w:rFonts w:ascii="Times New Roman" w:cs="Times New Roman"/>
                <w:sz w:val="24"/>
              </w:rPr>
              <w:t>字以内）</w:t>
            </w:r>
          </w:p>
        </w:tc>
        <w:tc>
          <w:tcPr>
            <w:tcW w:w="1200" w:type="dxa"/>
            <w:vAlign w:val="center"/>
          </w:tcPr>
          <w:p>
            <w:pPr>
              <w:pStyle w:val="15"/>
              <w:jc w:val="center"/>
              <w:rPr>
                <w:rFonts w:ascii="Times New Roman" w:hAnsi="Times New Roman" w:cs="Times New Roman"/>
                <w:sz w:val="24"/>
              </w:rPr>
            </w:pPr>
            <w:r>
              <w:rPr>
                <w:rFonts w:ascii="Times New Roman" w:cs="Times New Roman"/>
                <w:sz w:val="24"/>
              </w:rPr>
              <w:t>是否完成</w:t>
            </w:r>
          </w:p>
          <w:p>
            <w:pPr>
              <w:pStyle w:val="15"/>
              <w:jc w:val="center"/>
              <w:rPr>
                <w:rFonts w:ascii="Times New Roman" w:hAnsi="Times New Roman" w:cs="Times New Roman"/>
                <w:sz w:val="24"/>
              </w:rPr>
            </w:pPr>
            <w:r>
              <w:rPr>
                <w:rFonts w:ascii="Times New Roman" w:cs="Times New Roman"/>
                <w:sz w:val="24"/>
              </w:rPr>
              <w:t>（填写：已完成</w:t>
            </w:r>
            <w:r>
              <w:rPr>
                <w:rFonts w:ascii="Times New Roman" w:hAnsi="Times New Roman" w:cs="Times New Roman"/>
                <w:sz w:val="24"/>
              </w:rPr>
              <w:t>/</w:t>
            </w:r>
            <w:r>
              <w:rPr>
                <w:rFonts w:ascii="Times New Roman" w:cs="Times New Roman"/>
                <w:sz w:val="24"/>
              </w:rPr>
              <w:t>未完成）</w:t>
            </w:r>
          </w:p>
        </w:tc>
        <w:tc>
          <w:tcPr>
            <w:tcW w:w="990" w:type="dxa"/>
            <w:vAlign w:val="center"/>
          </w:tcPr>
          <w:p>
            <w:pPr>
              <w:pStyle w:val="15"/>
              <w:jc w:val="center"/>
              <w:rPr>
                <w:rFonts w:ascii="Times New Roman" w:hAnsi="Times New Roman" w:cs="Times New Roman"/>
                <w:sz w:val="24"/>
              </w:rPr>
            </w:pPr>
            <w:r>
              <w:rPr>
                <w:rFonts w:ascii="Times New Roman" w:cs="Times New Roman"/>
                <w:sz w:val="24"/>
              </w:rPr>
              <w:t>未完成原因</w:t>
            </w:r>
          </w:p>
          <w:p>
            <w:pPr>
              <w:pStyle w:val="15"/>
              <w:jc w:val="center"/>
              <w:rPr>
                <w:rFonts w:ascii="Times New Roman" w:hAnsi="Times New Roman" w:cs="Times New Roman"/>
                <w:sz w:val="24"/>
              </w:rPr>
            </w:pPr>
            <w:r>
              <w:rPr>
                <w:rFonts w:ascii="Times New Roman" w:cs="Times New Roman"/>
                <w:sz w:val="24"/>
              </w:rPr>
              <w:t>（</w:t>
            </w:r>
            <w:r>
              <w:rPr>
                <w:rFonts w:ascii="Times New Roman" w:hAnsi="Times New Roman" w:cs="Times New Roman"/>
                <w:sz w:val="24"/>
              </w:rPr>
              <w:t>300</w:t>
            </w:r>
            <w:r>
              <w:rPr>
                <w:rFonts w:ascii="Times New Roman" w:cs="Times New Roman"/>
                <w:sz w:val="24"/>
              </w:rPr>
              <w:t>字以内）</w:t>
            </w:r>
          </w:p>
        </w:tc>
        <w:tc>
          <w:tcPr>
            <w:tcW w:w="1020" w:type="dxa"/>
            <w:vAlign w:val="center"/>
          </w:tcPr>
          <w:p>
            <w:pPr>
              <w:pStyle w:val="15"/>
              <w:jc w:val="center"/>
              <w:rPr>
                <w:rFonts w:ascii="Times New Roman" w:hAnsi="Times New Roman" w:cs="Times New Roman"/>
                <w:sz w:val="24"/>
              </w:rPr>
            </w:pPr>
            <w:r>
              <w:rPr>
                <w:rFonts w:ascii="Times New Roman" w:cs="Times New Roman"/>
                <w:sz w:val="24"/>
              </w:rPr>
              <w:t>责任单位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951" w:hRule="atLeast"/>
        </w:trPr>
        <w:tc>
          <w:tcPr>
            <w:tcW w:w="856" w:type="dxa"/>
            <w:vMerge w:val="restart"/>
            <w:vAlign w:val="center"/>
          </w:tcPr>
          <w:p>
            <w:pPr>
              <w:spacing w:line="300" w:lineRule="exact"/>
              <w:rPr>
                <w:rFonts w:ascii="宋体" w:hAnsi="宋体"/>
                <w:kern w:val="0"/>
                <w:sz w:val="24"/>
                <w:lang w:val="en"/>
              </w:rPr>
            </w:pPr>
            <w:r>
              <w:rPr>
                <w:rFonts w:hint="eastAsia" w:ascii="宋体" w:hAnsi="宋体"/>
                <w:kern w:val="0"/>
                <w:sz w:val="24"/>
                <w:lang w:val="en"/>
              </w:rPr>
              <w:t>完善高质量就业和共富型大社保体系</w:t>
            </w: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创建国家老年友好城市。</w:t>
            </w:r>
          </w:p>
        </w:tc>
        <w:tc>
          <w:tcPr>
            <w:tcW w:w="8190" w:type="dxa"/>
            <w:vAlign w:val="center"/>
          </w:tcPr>
          <w:p>
            <w:pPr>
              <w:keepNext w:val="0"/>
              <w:keepLines w:val="0"/>
              <w:pageBreakBefore w:val="0"/>
              <w:numPr>
                <w:ilvl w:val="0"/>
                <w:numId w:val="0"/>
              </w:numPr>
              <w:kinsoku/>
              <w:wordWrap/>
              <w:overflowPunct/>
              <w:topLinePunct w:val="0"/>
              <w:bidi w:val="0"/>
              <w:adjustRightInd/>
              <w:snapToGrid/>
              <w:spacing w:line="360"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一、全面加强老年医养结合服务。</w:t>
            </w:r>
            <w:r>
              <w:rPr>
                <w:rFonts w:hint="eastAsia" w:ascii="宋体" w:hAnsi="宋体" w:eastAsia="宋体" w:cs="宋体"/>
                <w:kern w:val="0"/>
                <w:sz w:val="24"/>
                <w:szCs w:val="24"/>
                <w:lang w:val="en-US" w:eastAsia="zh-CN" w:bidi="zh-CN"/>
              </w:rPr>
              <w:t>椒江区65岁以上老年人77585人，截</w:t>
            </w:r>
            <w:r>
              <w:rPr>
                <w:rFonts w:hint="eastAsia" w:ascii="宋体" w:hAnsi="宋体" w:cs="宋体"/>
                <w:kern w:val="0"/>
                <w:sz w:val="24"/>
                <w:szCs w:val="24"/>
                <w:lang w:val="en-US" w:eastAsia="zh-CN" w:bidi="zh-CN"/>
              </w:rPr>
              <w:t>至</w:t>
            </w:r>
            <w:r>
              <w:rPr>
                <w:rFonts w:hint="eastAsia" w:ascii="宋体" w:hAnsi="宋体" w:eastAsia="宋体" w:cs="宋体"/>
                <w:kern w:val="0"/>
                <w:sz w:val="24"/>
                <w:szCs w:val="24"/>
                <w:lang w:val="en-US" w:eastAsia="zh-CN" w:bidi="zh-CN"/>
              </w:rPr>
              <w:t>6月30日，65岁及以上老年人医养结合服务48396人,服务率62.38%，为失能老人提供健康评估与健康服务719人。</w:t>
            </w:r>
            <w:r>
              <w:rPr>
                <w:rFonts w:hint="eastAsia" w:ascii="宋体" w:hAnsi="宋体" w:eastAsia="宋体" w:cs="宋体"/>
                <w:kern w:val="0"/>
                <w:sz w:val="24"/>
                <w:szCs w:val="24"/>
                <w:lang w:val="zh-CN" w:eastAsia="zh-CN" w:bidi="zh-CN"/>
              </w:rPr>
              <w:t>成功创建1个省级家庭医生签约培训基地，2个省级签约示范点。</w:t>
            </w:r>
          </w:p>
          <w:p>
            <w:pPr>
              <w:pStyle w:val="15"/>
              <w:keepNext w:val="0"/>
              <w:keepLines w:val="0"/>
              <w:pageBreakBefore w:val="0"/>
              <w:numPr>
                <w:ilvl w:val="0"/>
                <w:numId w:val="0"/>
              </w:numPr>
              <w:kinsoku/>
              <w:wordWrap/>
              <w:overflowPunct/>
              <w:topLinePunct w:val="0"/>
              <w:bidi w:val="0"/>
              <w:adjustRightInd/>
              <w:snapToGrid/>
              <w:spacing w:line="360"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highlight w:val="none"/>
                <w:lang w:eastAsia="zh-CN"/>
              </w:rPr>
              <w:t>二、深入开展老年人健康“五大”行动。</w:t>
            </w:r>
            <w:r>
              <w:rPr>
                <w:rFonts w:hint="eastAsia" w:ascii="宋体" w:hAnsi="宋体" w:eastAsia="宋体" w:cs="宋体"/>
                <w:sz w:val="24"/>
                <w:szCs w:val="24"/>
                <w:lang w:val="en-US" w:eastAsia="zh-CN"/>
              </w:rPr>
              <w:t>完成口腔健康评估1572人，营养不良风险评估517人，认知功能评估59，情感状态评估57人，糖尿病眼底筛查515人，超额完成半年度任务。</w:t>
            </w:r>
          </w:p>
          <w:p>
            <w:pPr>
              <w:keepNext w:val="0"/>
              <w:keepLines w:val="0"/>
              <w:pageBreakBefore w:val="0"/>
              <w:numPr>
                <w:ilvl w:val="0"/>
                <w:numId w:val="0"/>
              </w:numPr>
              <w:kinsoku/>
              <w:wordWrap/>
              <w:overflowPunct/>
              <w:topLinePunct w:val="0"/>
              <w:bidi w:val="0"/>
              <w:adjustRightInd/>
              <w:snapToGrid/>
              <w:spacing w:line="360" w:lineRule="exact"/>
              <w:ind w:left="0" w:leftChars="0" w:firstLine="482"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highlight w:val="none"/>
                <w:lang w:val="en-US" w:eastAsia="zh-CN"/>
              </w:rPr>
              <w:t>三、持续推进老年友好型社区创建</w:t>
            </w:r>
            <w:r>
              <w:rPr>
                <w:rFonts w:hint="eastAsia" w:ascii="宋体" w:hAnsi="宋体" w:eastAsia="宋体" w:cs="宋体"/>
                <w:b/>
                <w:bCs/>
                <w:sz w:val="24"/>
                <w:szCs w:val="24"/>
                <w:highlight w:val="none"/>
                <w:lang w:eastAsia="zh-CN"/>
              </w:rPr>
              <w:t>。</w:t>
            </w:r>
            <w:r>
              <w:rPr>
                <w:rFonts w:hint="eastAsia" w:ascii="宋体" w:hAnsi="宋体" w:eastAsia="宋体" w:cs="宋体"/>
                <w:sz w:val="24"/>
                <w:szCs w:val="24"/>
                <w:highlight w:val="none"/>
                <w:lang w:eastAsia="zh-CN"/>
              </w:rPr>
              <w:t>做好遴选上报工作，组织参加培训。下陈街道横河陈村已通过省级评审，将迎接国家复审。</w:t>
            </w:r>
          </w:p>
        </w:tc>
        <w:tc>
          <w:tcPr>
            <w:tcW w:w="1200" w:type="dxa"/>
            <w:vAlign w:val="center"/>
          </w:tcPr>
          <w:p>
            <w:pPr>
              <w:pStyle w:val="15"/>
              <w:jc w:val="center"/>
              <w:rPr>
                <w:rFonts w:hint="eastAsia" w:ascii="Times New Roman" w:hAnsi="Times New Roman" w:eastAsia="黑体" w:cs="Times New Roman"/>
                <w:sz w:val="24"/>
                <w:lang w:eastAsia="zh-CN"/>
              </w:rPr>
            </w:pPr>
            <w:r>
              <w:rPr>
                <w:rFonts w:hint="eastAsia" w:ascii="Times New Roman" w:hAnsi="Times New Roman" w:cs="Times New Roman"/>
                <w:sz w:val="24"/>
                <w:lang w:eastAsia="zh-CN"/>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continue"/>
            <w:vAlign w:val="center"/>
          </w:tcPr>
          <w:p>
            <w:pPr>
              <w:pStyle w:val="15"/>
              <w:jc w:val="center"/>
              <w:rPr>
                <w:rFonts w:ascii="Times New Roman" w:hAnsi="Times New Roman" w:eastAsia="仿宋_GB2312" w:cs="Times New Roman"/>
                <w:sz w:val="24"/>
              </w:rPr>
            </w:pP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建设善育高地，落实三孩生育政策，推进全国</w:t>
            </w:r>
            <w:r>
              <w:rPr>
                <w:rFonts w:hint="eastAsia" w:ascii="宋体" w:hAnsi="宋体"/>
                <w:spacing w:val="-12"/>
                <w:kern w:val="0"/>
                <w:sz w:val="24"/>
                <w:lang w:val="en"/>
              </w:rPr>
              <w:t>婴幼儿照护服务示范城市建设，新增托位1900个</w:t>
            </w:r>
            <w:r>
              <w:rPr>
                <w:rFonts w:hint="eastAsia" w:ascii="宋体" w:hAnsi="宋体"/>
                <w:kern w:val="0"/>
                <w:sz w:val="24"/>
                <w:lang w:val="en"/>
              </w:rPr>
              <w:t>。</w:t>
            </w:r>
          </w:p>
        </w:tc>
        <w:tc>
          <w:tcPr>
            <w:tcW w:w="8190" w:type="dxa"/>
            <w:vAlign w:val="center"/>
          </w:tcPr>
          <w:p>
            <w:pPr>
              <w:pStyle w:val="15"/>
              <w:keepNext w:val="0"/>
              <w:keepLines w:val="0"/>
              <w:pageBreakBefore w:val="0"/>
              <w:numPr>
                <w:ilvl w:val="0"/>
                <w:numId w:val="1"/>
              </w:numPr>
              <w:kinsoku/>
              <w:wordWrap/>
              <w:overflowPunct/>
              <w:topLinePunct w:val="0"/>
              <w:bidi w:val="0"/>
              <w:adjustRightInd/>
              <w:snapToGrid/>
              <w:spacing w:line="360" w:lineRule="exact"/>
              <w:ind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bCs/>
                <w:sz w:val="24"/>
                <w:szCs w:val="24"/>
                <w:lang w:eastAsia="zh-CN"/>
              </w:rPr>
              <w:t>深化省普惠托育基本公共服务先行试点。</w:t>
            </w:r>
            <w:r>
              <w:rPr>
                <w:rFonts w:hint="eastAsia" w:ascii="宋体" w:hAnsi="宋体" w:eastAsia="宋体" w:cs="宋体"/>
                <w:color w:val="auto"/>
                <w:sz w:val="24"/>
                <w:szCs w:val="24"/>
                <w:lang w:eastAsia="zh-CN"/>
              </w:rPr>
              <w:t>建立会商机制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合力推进试点，</w:t>
            </w:r>
            <w:r>
              <w:rPr>
                <w:rFonts w:hint="eastAsia" w:ascii="宋体" w:hAnsi="宋体" w:eastAsia="宋体" w:cs="宋体"/>
                <w:color w:val="auto"/>
                <w:sz w:val="24"/>
                <w:szCs w:val="24"/>
                <w:lang w:val="en-US" w:eastAsia="zh-CN"/>
              </w:rPr>
              <w:t>与区发改局等28个部门联合印发《椒江区基本公共服务标准》，明确为辖区常住0-3岁儿童免费提供8次标准化发育筛查、每月免费提供1次养育小组活动，提供普惠托育服务。</w:t>
            </w:r>
          </w:p>
          <w:p>
            <w:pPr>
              <w:keepNext w:val="0"/>
              <w:keepLines w:val="0"/>
              <w:pageBreakBefore w:val="0"/>
              <w:widowControl/>
              <w:suppressLineNumbers w:val="0"/>
              <w:kinsoku/>
              <w:wordWrap/>
              <w:overflowPunct/>
              <w:topLinePunct w:val="0"/>
              <w:autoSpaceDE/>
              <w:bidi w:val="0"/>
              <w:adjustRightInd/>
              <w:snapToGrid/>
              <w:spacing w:line="360" w:lineRule="exact"/>
              <w:ind w:firstLine="482" w:firstLineChars="200"/>
              <w:jc w:val="both"/>
              <w:textAlignment w:val="auto"/>
              <w:rPr>
                <w:rFonts w:hint="eastAsia" w:ascii="宋体" w:hAnsi="宋体" w:eastAsia="宋体" w:cs="宋体"/>
                <w:sz w:val="24"/>
                <w:szCs w:val="24"/>
                <w:lang w:eastAsia="zh-CN"/>
              </w:rPr>
            </w:pPr>
            <w:r>
              <w:rPr>
                <w:rFonts w:hint="eastAsia" w:ascii="宋体" w:hAnsi="宋体" w:eastAsia="宋体" w:cs="宋体"/>
                <w:b/>
                <w:bCs/>
                <w:kern w:val="0"/>
                <w:sz w:val="24"/>
                <w:szCs w:val="24"/>
                <w:lang w:val="en-US" w:eastAsia="zh-CN" w:bidi="zh-CN"/>
              </w:rPr>
              <w:t>二、落实三孩政策，加快构建人口均衡发展工作体系。</w:t>
            </w:r>
            <w:r>
              <w:rPr>
                <w:rFonts w:hint="eastAsia" w:ascii="宋体" w:hAnsi="宋体" w:eastAsia="宋体" w:cs="宋体"/>
                <w:color w:val="000000"/>
                <w:sz w:val="24"/>
                <w:szCs w:val="24"/>
                <w:lang w:eastAsia="zh-CN"/>
              </w:rPr>
              <w:t>成立了</w:t>
            </w:r>
            <w:r>
              <w:rPr>
                <w:rFonts w:hint="eastAsia" w:ascii="宋体" w:hAnsi="宋体" w:eastAsia="宋体" w:cs="宋体"/>
                <w:color w:val="000000"/>
                <w:sz w:val="24"/>
                <w:szCs w:val="24"/>
              </w:rPr>
              <w:t>由区长任组长</w:t>
            </w:r>
            <w:r>
              <w:rPr>
                <w:rFonts w:hint="eastAsia" w:ascii="宋体" w:hAnsi="宋体" w:eastAsia="宋体" w:cs="宋体"/>
                <w:color w:val="000000"/>
                <w:sz w:val="24"/>
                <w:szCs w:val="24"/>
                <w:lang w:eastAsia="zh-CN"/>
              </w:rPr>
              <w:t>的人口</w:t>
            </w:r>
            <w:r>
              <w:rPr>
                <w:rFonts w:hint="eastAsia" w:ascii="宋体" w:hAnsi="宋体" w:eastAsia="宋体" w:cs="宋体"/>
                <w:color w:val="000000"/>
                <w:sz w:val="24"/>
                <w:szCs w:val="24"/>
              </w:rPr>
              <w:t>均衡发展领导小组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明确各成员单位职责</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各街道、镇均相应建立人口均衡发展领导小组</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社区（村）完成工作机制转换，建立区、镇街、村居三级组织体系。</w:t>
            </w:r>
          </w:p>
          <w:p>
            <w:pPr>
              <w:pStyle w:val="15"/>
              <w:keepNext w:val="0"/>
              <w:keepLines w:val="0"/>
              <w:pageBreakBefore w:val="0"/>
              <w:numPr>
                <w:ilvl w:val="0"/>
                <w:numId w:val="0"/>
              </w:numPr>
              <w:kinsoku/>
              <w:wordWrap/>
              <w:overflowPunct/>
              <w:topLinePunct w:val="0"/>
              <w:bidi w:val="0"/>
              <w:adjustRightInd/>
              <w:snapToGrid/>
              <w:spacing w:line="360" w:lineRule="exact"/>
              <w:ind w:left="0" w:leftChars="0" w:firstLine="482" w:firstLineChars="200"/>
              <w:jc w:val="both"/>
              <w:textAlignment w:val="auto"/>
              <w:rPr>
                <w:rFonts w:hint="eastAsia" w:ascii="宋体" w:hAnsi="宋体" w:eastAsia="宋体" w:cs="宋体"/>
                <w:kern w:val="0"/>
                <w:sz w:val="24"/>
                <w:szCs w:val="22"/>
                <w:lang w:val="zh-CN" w:eastAsia="zh-CN" w:bidi="zh-CN"/>
              </w:rPr>
            </w:pPr>
            <w:r>
              <w:rPr>
                <w:rFonts w:hint="eastAsia" w:ascii="宋体" w:hAnsi="宋体" w:eastAsia="宋体" w:cs="宋体"/>
                <w:b/>
                <w:bCs/>
                <w:kern w:val="0"/>
                <w:sz w:val="24"/>
                <w:szCs w:val="24"/>
                <w:lang w:val="en-US" w:eastAsia="zh-CN" w:bidi="zh-CN"/>
              </w:rPr>
              <w:t>三、全力推进民生实事，增加托位供给。</w:t>
            </w:r>
            <w:r>
              <w:rPr>
                <w:rFonts w:hint="eastAsia" w:ascii="宋体" w:hAnsi="宋体" w:eastAsia="宋体" w:cs="宋体"/>
                <w:sz w:val="24"/>
                <w:szCs w:val="24"/>
                <w:shd w:val="clear" w:color="auto" w:fill="FFFFFF"/>
              </w:rPr>
              <w:t>截</w:t>
            </w:r>
            <w:r>
              <w:rPr>
                <w:rFonts w:hint="eastAsia" w:ascii="宋体" w:hAnsi="宋体" w:eastAsia="宋体" w:cs="宋体"/>
                <w:sz w:val="24"/>
                <w:szCs w:val="24"/>
                <w:shd w:val="clear" w:color="auto" w:fill="FFFFFF"/>
                <w:lang w:eastAsia="zh-CN"/>
              </w:rPr>
              <w:t>至</w:t>
            </w:r>
            <w:r>
              <w:rPr>
                <w:rFonts w:hint="eastAsia" w:ascii="宋体" w:hAnsi="宋体" w:eastAsia="宋体" w:cs="宋体"/>
                <w:sz w:val="24"/>
                <w:szCs w:val="24"/>
                <w:shd w:val="clear" w:color="auto" w:fill="FFFFFF"/>
                <w:lang w:val="en-US" w:eastAsia="zh-CN"/>
              </w:rPr>
              <w:t>6</w:t>
            </w:r>
            <w:r>
              <w:rPr>
                <w:rFonts w:hint="eastAsia" w:ascii="宋体" w:hAnsi="宋体" w:eastAsia="宋体" w:cs="宋体"/>
                <w:sz w:val="24"/>
                <w:szCs w:val="24"/>
                <w:shd w:val="clear" w:color="auto" w:fill="FFFFFF"/>
              </w:rPr>
              <w:t>月底</w:t>
            </w:r>
            <w:r>
              <w:rPr>
                <w:rFonts w:hint="eastAsia" w:ascii="宋体" w:hAnsi="宋体" w:eastAsia="宋体" w:cs="宋体"/>
                <w:sz w:val="24"/>
                <w:szCs w:val="24"/>
                <w:shd w:val="clear" w:color="auto" w:fill="FFFFFF"/>
                <w:lang w:eastAsia="zh-CN"/>
              </w:rPr>
              <w:t>，通过省民生实事新增托育机构</w:t>
            </w:r>
            <w:r>
              <w:rPr>
                <w:rFonts w:hint="eastAsia" w:ascii="宋体" w:hAnsi="宋体" w:eastAsia="宋体" w:cs="宋体"/>
                <w:sz w:val="24"/>
                <w:szCs w:val="24"/>
                <w:shd w:val="clear" w:color="auto" w:fill="FFFFFF"/>
                <w:lang w:val="en-US" w:eastAsia="zh-CN"/>
              </w:rPr>
              <w:t>8</w:t>
            </w:r>
            <w:r>
              <w:rPr>
                <w:rFonts w:hint="eastAsia" w:ascii="宋体" w:hAnsi="宋体" w:eastAsia="宋体" w:cs="宋体"/>
                <w:sz w:val="24"/>
                <w:szCs w:val="24"/>
                <w:shd w:val="clear" w:color="auto" w:fill="FFFFFF"/>
                <w:lang w:eastAsia="zh-CN"/>
              </w:rPr>
              <w:t>家、新增托位</w:t>
            </w:r>
            <w:r>
              <w:rPr>
                <w:rFonts w:hint="eastAsia" w:ascii="宋体" w:hAnsi="宋体" w:eastAsia="宋体" w:cs="宋体"/>
                <w:sz w:val="24"/>
                <w:szCs w:val="24"/>
                <w:shd w:val="clear" w:color="auto" w:fill="FFFFFF"/>
                <w:lang w:val="en-US" w:eastAsia="zh-CN"/>
              </w:rPr>
              <w:t>336</w:t>
            </w:r>
            <w:r>
              <w:rPr>
                <w:rFonts w:hint="eastAsia" w:ascii="宋体" w:hAnsi="宋体" w:eastAsia="宋体" w:cs="宋体"/>
                <w:sz w:val="24"/>
                <w:szCs w:val="24"/>
                <w:shd w:val="clear" w:color="auto" w:fill="FFFFFF"/>
                <w:lang w:eastAsia="zh-CN"/>
              </w:rPr>
              <w:t>个，其中普惠托位2</w:t>
            </w:r>
            <w:r>
              <w:rPr>
                <w:rFonts w:hint="eastAsia" w:ascii="宋体" w:hAnsi="宋体" w:eastAsia="宋体" w:cs="宋体"/>
                <w:sz w:val="24"/>
                <w:szCs w:val="24"/>
                <w:shd w:val="clear" w:color="auto" w:fill="FFFFFF"/>
                <w:lang w:val="en-US" w:eastAsia="zh-CN"/>
              </w:rPr>
              <w:t>5</w:t>
            </w:r>
            <w:r>
              <w:rPr>
                <w:rFonts w:hint="eastAsia" w:ascii="宋体" w:hAnsi="宋体" w:eastAsia="宋体" w:cs="宋体"/>
                <w:sz w:val="24"/>
                <w:szCs w:val="24"/>
                <w:shd w:val="clear" w:color="auto" w:fill="FFFFFF"/>
                <w:lang w:eastAsia="zh-CN"/>
              </w:rPr>
              <w:t>8个，均提前超额完成全年任务。持续抓好“</w:t>
            </w:r>
            <w:r>
              <w:rPr>
                <w:rFonts w:hint="eastAsia" w:ascii="宋体" w:hAnsi="宋体" w:eastAsia="宋体" w:cs="宋体"/>
                <w:sz w:val="24"/>
                <w:szCs w:val="24"/>
                <w:shd w:val="clear" w:color="auto" w:fill="FFFFFF"/>
                <w:lang w:val="en-US" w:eastAsia="zh-CN"/>
              </w:rPr>
              <w:t>5+X</w:t>
            </w:r>
            <w:r>
              <w:rPr>
                <w:rFonts w:hint="eastAsia" w:ascii="宋体" w:hAnsi="宋体" w:eastAsia="宋体" w:cs="宋体"/>
                <w:sz w:val="24"/>
                <w:szCs w:val="24"/>
                <w:shd w:val="clear" w:color="auto" w:fill="FFFFFF"/>
                <w:lang w:eastAsia="zh-CN"/>
              </w:rPr>
              <w:t>”托育体系建设，</w:t>
            </w:r>
            <w:r>
              <w:rPr>
                <w:rFonts w:hint="eastAsia" w:ascii="宋体" w:hAnsi="宋体" w:eastAsia="宋体" w:cs="宋体"/>
                <w:color w:val="auto"/>
                <w:sz w:val="24"/>
                <w:szCs w:val="24"/>
              </w:rPr>
              <w:t>建成各类托育机构65家，托位2818个，千人托位数达4.06个，实现托育机构乡镇全覆盖。</w:t>
            </w:r>
          </w:p>
        </w:tc>
        <w:tc>
          <w:tcPr>
            <w:tcW w:w="1200" w:type="dxa"/>
            <w:vAlign w:val="center"/>
          </w:tcPr>
          <w:p>
            <w:pPr>
              <w:pStyle w:val="15"/>
              <w:jc w:val="center"/>
              <w:rPr>
                <w:rFonts w:ascii="Times New Roman" w:hAnsi="Times New Roman" w:cs="Times New Roman"/>
                <w:sz w:val="24"/>
              </w:rPr>
            </w:pPr>
            <w:r>
              <w:rPr>
                <w:rFonts w:hint="eastAsia" w:ascii="Times New Roman" w:hAnsi="Times New Roman" w:cs="Times New Roman"/>
                <w:sz w:val="24"/>
                <w:lang w:eastAsia="zh-CN"/>
              </w:rPr>
              <w:t>已完成</w:t>
            </w:r>
          </w:p>
        </w:tc>
        <w:tc>
          <w:tcPr>
            <w:tcW w:w="990" w:type="dxa"/>
            <w:vAlign w:val="center"/>
          </w:tcPr>
          <w:p>
            <w:pPr>
              <w:pStyle w:val="15"/>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restart"/>
            <w:vAlign w:val="center"/>
          </w:tcPr>
          <w:p>
            <w:pPr>
              <w:pStyle w:val="15"/>
              <w:jc w:val="center"/>
              <w:rPr>
                <w:rFonts w:ascii="Times New Roman" w:hAnsi="Times New Roman" w:eastAsia="仿宋_GB2312" w:cs="Times New Roman"/>
                <w:sz w:val="24"/>
              </w:rPr>
            </w:pPr>
            <w:r>
              <w:rPr>
                <w:rFonts w:hint="eastAsia" w:ascii="宋体" w:hAnsi="宋体" w:eastAsia="宋体" w:cs="Times New Roman"/>
                <w:sz w:val="24"/>
                <w:szCs w:val="24"/>
                <w:lang w:val="en" w:bidi="ar-SA"/>
              </w:rPr>
              <w:t>实施健康台州新三年行动</w:t>
            </w: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抓实抓细“乙类乙管”常态化防控工作，强化防控指挥体系、疫情监测预警、医疗救治体系、宣传教育引导，巩固拓展疫情防控重大成果。</w:t>
            </w:r>
          </w:p>
        </w:tc>
        <w:tc>
          <w:tcPr>
            <w:tcW w:w="81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kern w:val="0"/>
                <w:sz w:val="24"/>
                <w:lang w:val="en"/>
              </w:rPr>
            </w:pPr>
            <w:r>
              <w:rPr>
                <w:rFonts w:hint="eastAsia" w:ascii="宋体" w:hAnsi="宋体"/>
                <w:b/>
                <w:bCs/>
                <w:kern w:val="0"/>
                <w:sz w:val="24"/>
                <w:lang w:val="en" w:eastAsia="zh-CN"/>
              </w:rPr>
              <w:t>一、</w:t>
            </w:r>
            <w:r>
              <w:rPr>
                <w:rFonts w:hint="eastAsia" w:ascii="宋体" w:hAnsi="宋体"/>
                <w:b/>
                <w:bCs/>
                <w:kern w:val="0"/>
                <w:sz w:val="24"/>
                <w:lang w:val="en"/>
              </w:rPr>
              <w:t>夯实防控指挥体系。</w:t>
            </w:r>
            <w:r>
              <w:rPr>
                <w:rFonts w:hint="eastAsia" w:ascii="宋体" w:hAnsi="宋体"/>
                <w:kern w:val="0"/>
                <w:sz w:val="24"/>
                <w:lang w:val="en"/>
              </w:rPr>
              <w:t>保留疫情防控指挥部，建立平战结合机制，对新冠聚集性疫情苗头和变异株疫情及时开展应急处置，有效阻止疫情扩散。</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kern w:val="0"/>
                <w:sz w:val="24"/>
                <w:lang w:val="en"/>
              </w:rPr>
            </w:pPr>
            <w:r>
              <w:rPr>
                <w:rFonts w:hint="eastAsia" w:ascii="宋体" w:hAnsi="宋体"/>
                <w:b/>
                <w:bCs/>
                <w:kern w:val="0"/>
                <w:sz w:val="24"/>
                <w:lang w:val="en" w:eastAsia="zh-CN"/>
              </w:rPr>
              <w:t>二、</w:t>
            </w:r>
            <w:r>
              <w:rPr>
                <w:rFonts w:hint="eastAsia" w:ascii="宋体" w:hAnsi="宋体"/>
                <w:b/>
                <w:bCs/>
                <w:kern w:val="0"/>
                <w:sz w:val="24"/>
                <w:lang w:val="en"/>
              </w:rPr>
              <w:t>加强疫情监测。</w:t>
            </w:r>
            <w:r>
              <w:rPr>
                <w:rFonts w:hint="eastAsia" w:ascii="宋体" w:hAnsi="宋体"/>
                <w:kern w:val="0"/>
                <w:sz w:val="24"/>
                <w:lang w:val="en"/>
              </w:rPr>
              <w:t>严格落实哨点医院流感样病例新冠检测、学生症状监测、污水监测工作。加强医疗机构信息报告规范，及时研判新冠发病水平和流行趋势，做好风险预警评估，各级各类医疗机构每日统计前一日发热门诊（诊室）就诊人数、新冠病毒核酸检测人数及阳性数、抗原检测人数及阳性数，目前全区有13家医疗机构开设发热门诊（诊室）共20间。</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kern w:val="0"/>
                <w:sz w:val="24"/>
                <w:lang w:val="en"/>
              </w:rPr>
            </w:pPr>
            <w:r>
              <w:rPr>
                <w:rFonts w:hint="eastAsia" w:ascii="宋体" w:hAnsi="宋体"/>
                <w:b/>
                <w:bCs/>
                <w:kern w:val="0"/>
                <w:sz w:val="24"/>
                <w:lang w:val="en" w:eastAsia="zh-CN"/>
              </w:rPr>
              <w:t>三、</w:t>
            </w:r>
            <w:r>
              <w:rPr>
                <w:rFonts w:hint="eastAsia" w:ascii="宋体" w:hAnsi="宋体"/>
                <w:b/>
                <w:bCs/>
                <w:kern w:val="0"/>
                <w:sz w:val="24"/>
                <w:lang w:val="en"/>
              </w:rPr>
              <w:t>加强医疗资源保障。</w:t>
            </w:r>
            <w:r>
              <w:rPr>
                <w:rFonts w:hint="eastAsia" w:ascii="宋体" w:hAnsi="宋体"/>
                <w:kern w:val="0"/>
                <w:sz w:val="24"/>
                <w:lang w:val="en"/>
              </w:rPr>
              <w:t>进一步健全医疗设施，加强药物、抗原检测试剂等物资生产储备，密切关注基层医疗卫生机构药品储备，其中解热镇痛药品按不少于1个月使用量储备，其他药品配备可用量始终保持在2周以上。</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kern w:val="0"/>
                <w:sz w:val="24"/>
                <w:lang w:val="en"/>
              </w:rPr>
            </w:pPr>
            <w:r>
              <w:rPr>
                <w:rFonts w:hint="eastAsia" w:ascii="宋体" w:hAnsi="宋体"/>
                <w:b/>
                <w:bCs/>
                <w:kern w:val="0"/>
                <w:sz w:val="24"/>
                <w:lang w:val="en" w:eastAsia="zh-CN"/>
              </w:rPr>
              <w:t>四、</w:t>
            </w:r>
            <w:r>
              <w:rPr>
                <w:rFonts w:hint="eastAsia" w:ascii="宋体" w:hAnsi="宋体"/>
                <w:b/>
                <w:bCs/>
                <w:kern w:val="0"/>
                <w:sz w:val="24"/>
                <w:lang w:val="en"/>
              </w:rPr>
              <w:t>强化宣传教育。</w:t>
            </w:r>
            <w:r>
              <w:rPr>
                <w:rFonts w:hint="eastAsia" w:ascii="宋体" w:hAnsi="宋体"/>
                <w:kern w:val="0"/>
                <w:sz w:val="24"/>
                <w:lang w:val="en"/>
              </w:rPr>
              <w:t>多措并举开展线上健康知识普及行动，积极宣传引导群众加强自我防护，继续推进新冠疫苗接种。</w:t>
            </w:r>
          </w:p>
        </w:tc>
        <w:tc>
          <w:tcPr>
            <w:tcW w:w="1200" w:type="dxa"/>
            <w:vAlign w:val="center"/>
          </w:tcPr>
          <w:p>
            <w:pPr>
              <w:pStyle w:val="15"/>
              <w:jc w:val="center"/>
              <w:rPr>
                <w:rFonts w:ascii="Times New Roman" w:hAnsi="Times New Roman" w:cs="Times New Roman"/>
                <w:sz w:val="24"/>
              </w:rPr>
            </w:pPr>
            <w:r>
              <w:rPr>
                <w:rFonts w:hint="eastAsia" w:ascii="Times New Roman" w:hAnsi="Times New Roman" w:cs="Times New Roman"/>
                <w:sz w:val="24"/>
                <w:lang w:eastAsia="zh-CN"/>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continue"/>
            <w:vAlign w:val="center"/>
          </w:tcPr>
          <w:p>
            <w:pPr>
              <w:pStyle w:val="15"/>
              <w:jc w:val="center"/>
              <w:rPr>
                <w:rFonts w:ascii="Times New Roman" w:hAnsi="Times New Roman" w:eastAsia="仿宋_GB2312" w:cs="Times New Roman"/>
                <w:sz w:val="24"/>
              </w:rPr>
            </w:pP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纵深推进“三医联动”“六医统筹”改革，推动公立医院高质量差异化发展，建设高水平县级医院，提升中医药服务能力，争创国家区域医疗中心。</w:t>
            </w:r>
          </w:p>
        </w:tc>
        <w:tc>
          <w:tcPr>
            <w:tcW w:w="81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kern w:val="0"/>
                <w:sz w:val="24"/>
                <w:lang w:val="en"/>
              </w:rPr>
            </w:pPr>
            <w:r>
              <w:rPr>
                <w:rFonts w:hint="eastAsia" w:ascii="宋体" w:hAnsi="宋体"/>
                <w:b/>
                <w:bCs/>
                <w:kern w:val="0"/>
                <w:sz w:val="24"/>
                <w:lang w:val="en"/>
              </w:rPr>
              <w:t>三医联动</w:t>
            </w:r>
            <w:r>
              <w:rPr>
                <w:rFonts w:hint="eastAsia" w:ascii="宋体" w:hAnsi="宋体"/>
                <w:kern w:val="0"/>
                <w:sz w:val="24"/>
                <w:lang w:val="en"/>
              </w:rPr>
              <w:t>：通过“互联网+三医联动”一站式便民惠民服务体系，积极探索推动落实分级诊疗政策，解决医疗资源分配不均、偏远地区就医购药难，特别是慢病诊治购药等问题，打造出15分钟医药健康服务圈。2022年，区政府根据省市未来乡村建设规范，把“互联网+三医联动”数字化便民服务应用作为未来健康场景和未来智慧场景打造中一项重要内容。</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eastAsia="宋体" w:cs="Times New Roman"/>
                <w:sz w:val="24"/>
                <w:szCs w:val="24"/>
                <w:lang w:val="en" w:bidi="ar-SA"/>
              </w:rPr>
            </w:pPr>
            <w:r>
              <w:rPr>
                <w:rFonts w:hint="eastAsia" w:ascii="宋体" w:hAnsi="宋体"/>
                <w:b/>
                <w:bCs/>
                <w:kern w:val="0"/>
                <w:sz w:val="24"/>
                <w:lang w:val="en"/>
              </w:rPr>
              <w:t>中医药服务</w:t>
            </w:r>
            <w:r>
              <w:rPr>
                <w:rFonts w:hint="eastAsia" w:ascii="宋体" w:hAnsi="宋体"/>
                <w:kern w:val="0"/>
                <w:sz w:val="24"/>
                <w:lang w:val="en"/>
              </w:rPr>
              <w:t>：依托政府办村卫生室项目，扩大“中医阁”覆盖面，在去年5家中医阁的基础上，今年新增5家村级“中医阁”，数量全市领先；今年创建洪家、东山两家省级中医知识角；各中心（卫生院）积极联系本区域内中小学，通过开设中医药第二课堂的方式，纵深推进中医药进校园活动，台州学院路小学入选省级中医文化弘扬工程项目；联合区委宣传部组织外国留学生体验椒江中医药文化，被央视等国家级媒体转发；举办椒江区首届药膳节，宣传中医文化，获各届好评。</w:t>
            </w:r>
          </w:p>
        </w:tc>
        <w:tc>
          <w:tcPr>
            <w:tcW w:w="1200" w:type="dxa"/>
            <w:vAlign w:val="center"/>
          </w:tcPr>
          <w:p>
            <w:pPr>
              <w:pStyle w:val="15"/>
              <w:jc w:val="center"/>
              <w:rPr>
                <w:rFonts w:ascii="Times New Roman" w:hAnsi="Times New Roman" w:cs="Times New Roman"/>
                <w:sz w:val="24"/>
              </w:rPr>
            </w:pPr>
            <w:r>
              <w:rPr>
                <w:rFonts w:hint="eastAsia" w:ascii="Times New Roman" w:hAnsi="Times New Roman" w:cs="Times New Roman"/>
                <w:sz w:val="24"/>
                <w:lang w:eastAsia="zh-CN"/>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continue"/>
            <w:vAlign w:val="center"/>
          </w:tcPr>
          <w:p>
            <w:pPr>
              <w:pStyle w:val="15"/>
              <w:jc w:val="center"/>
              <w:rPr>
                <w:rFonts w:ascii="Times New Roman" w:hAnsi="Times New Roman" w:eastAsia="仿宋_GB2312" w:cs="Times New Roman"/>
                <w:sz w:val="24"/>
              </w:rPr>
            </w:pP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深化医共体建设2.0版，县域内就诊率达到90%以上。</w:t>
            </w:r>
          </w:p>
        </w:tc>
        <w:tc>
          <w:tcPr>
            <w:tcW w:w="8190" w:type="dxa"/>
            <w:vAlign w:val="center"/>
          </w:tcPr>
          <w:p>
            <w:pPr>
              <w:pStyle w:val="15"/>
              <w:keepNext w:val="0"/>
              <w:keepLines w:val="0"/>
              <w:pageBreakBefore w:val="0"/>
              <w:kinsoku/>
              <w:wordWrap/>
              <w:overflowPunct/>
              <w:topLinePunct w:val="0"/>
              <w:bidi w:val="0"/>
              <w:adjustRightInd/>
              <w:snapToGrid/>
              <w:spacing w:line="360" w:lineRule="exact"/>
              <w:ind w:firstLine="480" w:firstLineChars="200"/>
              <w:jc w:val="both"/>
              <w:textAlignment w:val="auto"/>
              <w:rPr>
                <w:rFonts w:ascii="宋体" w:hAnsi="宋体" w:eastAsia="宋体" w:cs="Times New Roman"/>
                <w:sz w:val="24"/>
                <w:szCs w:val="24"/>
                <w:lang w:val="en" w:bidi="ar-SA"/>
              </w:rPr>
            </w:pPr>
            <w:r>
              <w:rPr>
                <w:rFonts w:hint="eastAsia" w:ascii="宋体" w:hAnsi="宋体" w:eastAsia="宋体" w:cs="Times New Roman"/>
                <w:sz w:val="24"/>
                <w:szCs w:val="24"/>
                <w:lang w:val="en" w:bidi="ar-SA"/>
              </w:rPr>
              <w:t>积极推进紧密型医联体建设，加快资源共建共享、管理同标同质和服务优质高效；坚持“三医”联动、“六医”统筹，加强“医联体”信息化建设，进一步完善“基层首诊、双向转诊、急慢分治、上下联动”的分级诊疗模式，促进医联体整体医疗质量和技术精准提升。2022年，我区县域内就诊率已达90.77%。</w:t>
            </w:r>
          </w:p>
        </w:tc>
        <w:tc>
          <w:tcPr>
            <w:tcW w:w="1200" w:type="dxa"/>
            <w:vAlign w:val="center"/>
          </w:tcPr>
          <w:p>
            <w:pPr>
              <w:pStyle w:val="15"/>
              <w:jc w:val="center"/>
              <w:rPr>
                <w:rFonts w:ascii="Times New Roman" w:hAnsi="Times New Roman" w:cs="Times New Roman"/>
                <w:sz w:val="24"/>
              </w:rPr>
            </w:pPr>
            <w:r>
              <w:rPr>
                <w:rFonts w:ascii="Times New Roman" w:hAnsi="Times New Roman" w:cs="Times New Roman"/>
                <w:sz w:val="24"/>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continue"/>
            <w:vAlign w:val="center"/>
          </w:tcPr>
          <w:p>
            <w:pPr>
              <w:pStyle w:val="15"/>
              <w:jc w:val="center"/>
              <w:rPr>
                <w:rFonts w:ascii="Times New Roman" w:hAnsi="Times New Roman" w:eastAsia="仿宋_GB2312" w:cs="Times New Roman"/>
                <w:sz w:val="24"/>
              </w:rPr>
            </w:pP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加快“两慢病”一体化门诊建设，完善心理健康和精神卫生服务。</w:t>
            </w:r>
          </w:p>
        </w:tc>
        <w:tc>
          <w:tcPr>
            <w:tcW w:w="8190" w:type="dxa"/>
            <w:vAlign w:val="center"/>
          </w:tcPr>
          <w:p>
            <w:pPr>
              <w:pStyle w:val="6"/>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sz w:val="21"/>
                <w:szCs w:val="21"/>
              </w:rPr>
            </w:pPr>
            <w:r>
              <w:rPr>
                <w:rFonts w:ascii="宋体" w:hAnsi="宋体"/>
                <w:kern w:val="0"/>
                <w:lang w:val="en"/>
              </w:rPr>
              <w:t>椒江区陆上8家社区卫生服务中心均已建设、运行“两慢病”一体化门诊，截至6月底，“两慢病”一体化门诊共接诊患者2.26万人次，为4207名患者提供规范的诊间随访服务。完善心理健康和精神卫生服务体系。按照《心理服务规范》要求，通过线上线下相结合，以“接好一条热线、组建两支队伍，建立三级阵地”的模式，积极开展心理学知识宣传与普及、心理指导与辅导等服务。全面落实患者救助、管理、送治等服务措施，以区为单位严重精神障碍患者报告患病率达到5‰，各项指标达标；开展“精神行为异常人员”诊断复核和肇事肇祸及其倾向患者的危险性评估；与政法、公安、残联多部门联动，开展信息交换</w:t>
            </w:r>
            <w:r>
              <w:rPr>
                <w:rFonts w:hint="eastAsia" w:ascii="宋体" w:hAnsi="宋体"/>
                <w:kern w:val="0"/>
                <w:lang w:val="en"/>
              </w:rPr>
              <w:t>。</w:t>
            </w:r>
          </w:p>
        </w:tc>
        <w:tc>
          <w:tcPr>
            <w:tcW w:w="1200" w:type="dxa"/>
            <w:vAlign w:val="center"/>
          </w:tcPr>
          <w:p>
            <w:pPr>
              <w:pStyle w:val="15"/>
              <w:jc w:val="center"/>
              <w:rPr>
                <w:rFonts w:ascii="Times New Roman" w:hAnsi="Times New Roman" w:cs="Times New Roman"/>
                <w:sz w:val="24"/>
              </w:rPr>
            </w:pPr>
            <w:r>
              <w:rPr>
                <w:rFonts w:ascii="Times New Roman" w:hAnsi="Times New Roman" w:cs="Times New Roman"/>
                <w:sz w:val="24"/>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continue"/>
            <w:vAlign w:val="center"/>
          </w:tcPr>
          <w:p>
            <w:pPr>
              <w:pStyle w:val="15"/>
              <w:jc w:val="center"/>
              <w:rPr>
                <w:rFonts w:ascii="Times New Roman" w:hAnsi="Times New Roman" w:eastAsia="仿宋_GB2312" w:cs="Times New Roman"/>
                <w:sz w:val="24"/>
              </w:rPr>
            </w:pP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实施村级卫生服务“网底”夯实工程，新（改）建政府办村卫生室80家。</w:t>
            </w:r>
          </w:p>
        </w:tc>
        <w:tc>
          <w:tcPr>
            <w:tcW w:w="8190" w:type="dxa"/>
            <w:vAlign w:val="center"/>
          </w:tcPr>
          <w:p>
            <w:pPr>
              <w:pStyle w:val="15"/>
              <w:keepNext w:val="0"/>
              <w:keepLines w:val="0"/>
              <w:pageBreakBefore w:val="0"/>
              <w:kinsoku/>
              <w:wordWrap/>
              <w:overflowPunct/>
              <w:topLinePunct w:val="0"/>
              <w:bidi w:val="0"/>
              <w:adjustRightInd/>
              <w:snapToGrid/>
              <w:spacing w:line="360" w:lineRule="exact"/>
              <w:ind w:firstLine="480" w:firstLineChars="200"/>
              <w:jc w:val="both"/>
              <w:textAlignment w:val="auto"/>
              <w:rPr>
                <w:rFonts w:ascii="宋体" w:hAnsi="宋体" w:eastAsia="宋体" w:cs="Times New Roman"/>
                <w:sz w:val="24"/>
                <w:szCs w:val="24"/>
                <w:lang w:val="en" w:bidi="ar-SA"/>
              </w:rPr>
            </w:pPr>
            <w:r>
              <w:rPr>
                <w:rFonts w:hint="eastAsia" w:ascii="宋体" w:hAnsi="宋体" w:eastAsia="宋体" w:cs="Times New Roman"/>
                <w:sz w:val="24"/>
                <w:szCs w:val="24"/>
                <w:lang w:val="en" w:bidi="ar-SA"/>
              </w:rPr>
              <w:t>2</w:t>
            </w:r>
            <w:r>
              <w:rPr>
                <w:rFonts w:ascii="宋体" w:hAnsi="宋体" w:eastAsia="宋体" w:cs="Times New Roman"/>
                <w:sz w:val="24"/>
                <w:szCs w:val="24"/>
                <w:lang w:val="en" w:bidi="ar-SA"/>
              </w:rPr>
              <w:t>023年，</w:t>
            </w:r>
            <w:r>
              <w:rPr>
                <w:rFonts w:hint="eastAsia" w:ascii="宋体" w:hAnsi="宋体" w:eastAsia="宋体" w:cs="Times New Roman"/>
                <w:sz w:val="24"/>
                <w:szCs w:val="24"/>
                <w:lang w:val="en" w:bidi="ar-SA"/>
              </w:rPr>
              <w:t>我区新（改）建政府办村卫生室任务数5个，目前已经完成5个，完成进度100%。接下来，重点加强政府办村卫生室内部运行管理，规范工作时间，确保医疗质量。</w:t>
            </w:r>
          </w:p>
        </w:tc>
        <w:tc>
          <w:tcPr>
            <w:tcW w:w="1200" w:type="dxa"/>
            <w:vAlign w:val="center"/>
          </w:tcPr>
          <w:p>
            <w:pPr>
              <w:pStyle w:val="15"/>
              <w:jc w:val="center"/>
              <w:rPr>
                <w:rFonts w:ascii="Times New Roman" w:hAnsi="Times New Roman" w:cs="Times New Roman"/>
                <w:sz w:val="24"/>
              </w:rPr>
            </w:pPr>
            <w:r>
              <w:rPr>
                <w:rFonts w:ascii="Times New Roman" w:hAnsi="Times New Roman" w:cs="Times New Roman"/>
                <w:sz w:val="24"/>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46" w:hRule="atLeast"/>
        </w:trPr>
        <w:tc>
          <w:tcPr>
            <w:tcW w:w="856" w:type="dxa"/>
            <w:vMerge w:val="continue"/>
            <w:vAlign w:val="center"/>
          </w:tcPr>
          <w:p>
            <w:pPr>
              <w:pStyle w:val="15"/>
              <w:jc w:val="center"/>
              <w:rPr>
                <w:rFonts w:ascii="Times New Roman" w:hAnsi="Times New Roman" w:eastAsia="仿宋_GB2312" w:cs="Times New Roman"/>
                <w:sz w:val="24"/>
              </w:rPr>
            </w:pPr>
          </w:p>
        </w:tc>
        <w:tc>
          <w:tcPr>
            <w:tcW w:w="1920" w:type="dxa"/>
            <w:vAlign w:val="center"/>
          </w:tcPr>
          <w:p>
            <w:pPr>
              <w:spacing w:line="300" w:lineRule="exact"/>
              <w:rPr>
                <w:rFonts w:ascii="宋体" w:hAnsi="宋体"/>
                <w:kern w:val="0"/>
                <w:sz w:val="24"/>
                <w:lang w:val="en"/>
              </w:rPr>
            </w:pPr>
            <w:r>
              <w:rPr>
                <w:rFonts w:hint="eastAsia" w:ascii="宋体" w:hAnsi="宋体"/>
                <w:kern w:val="0"/>
                <w:sz w:val="24"/>
                <w:lang w:val="en"/>
              </w:rPr>
              <w:t>开展爱国卫生运动，倡导文明健康生活方式。</w:t>
            </w:r>
          </w:p>
        </w:tc>
        <w:tc>
          <w:tcPr>
            <w:tcW w:w="8190" w:type="dxa"/>
            <w:vAlign w:val="center"/>
          </w:tcPr>
          <w:p>
            <w:pPr>
              <w:keepNext w:val="0"/>
              <w:keepLines w:val="0"/>
              <w:pageBreakBefore w:val="0"/>
              <w:kinsoku/>
              <w:wordWrap/>
              <w:overflowPunct/>
              <w:topLinePunct w:val="0"/>
              <w:bidi w:val="0"/>
              <w:adjustRightInd/>
              <w:snapToGrid/>
              <w:spacing w:line="360" w:lineRule="exact"/>
              <w:ind w:firstLine="482" w:firstLineChars="200"/>
              <w:textAlignment w:val="auto"/>
              <w:rPr>
                <w:rFonts w:hint="eastAsia" w:ascii="宋体" w:hAnsi="宋体"/>
                <w:kern w:val="0"/>
                <w:sz w:val="24"/>
                <w:lang w:val="en"/>
              </w:rPr>
            </w:pPr>
            <w:r>
              <w:rPr>
                <w:rFonts w:hint="eastAsia" w:ascii="宋体" w:hAnsi="宋体"/>
                <w:b/>
                <w:bCs/>
                <w:kern w:val="0"/>
                <w:sz w:val="24"/>
                <w:lang w:val="en" w:eastAsia="zh-CN"/>
              </w:rPr>
              <w:t>一、</w:t>
            </w:r>
            <w:r>
              <w:rPr>
                <w:rFonts w:hint="eastAsia" w:ascii="宋体" w:hAnsi="宋体"/>
                <w:b/>
                <w:bCs/>
                <w:kern w:val="0"/>
                <w:sz w:val="24"/>
                <w:lang w:val="en"/>
              </w:rPr>
              <w:t>广泛倡导文明健康绿色环保生活方式。</w:t>
            </w:r>
            <w:r>
              <w:rPr>
                <w:rFonts w:hint="eastAsia" w:ascii="宋体" w:hAnsi="宋体"/>
                <w:kern w:val="0"/>
                <w:sz w:val="24"/>
                <w:lang w:val="en"/>
              </w:rPr>
              <w:t>在《今日椒江》等各类媒体平台宣传健康相关知识，结合世界睡眠日等卫生宣传日，采取健康讲座、义诊咨询等形式，面对面向群众科普健康知识。动员辖区内机关、企事业单位、学校等公众场所积极创建“无烟单位”，营造控烟、拒烟、戒烟、无烟的良好环境</w:t>
            </w:r>
          </w:p>
          <w:p>
            <w:pPr>
              <w:keepNext w:val="0"/>
              <w:keepLines w:val="0"/>
              <w:pageBreakBefore w:val="0"/>
              <w:kinsoku/>
              <w:wordWrap/>
              <w:overflowPunct/>
              <w:topLinePunct w:val="0"/>
              <w:bidi w:val="0"/>
              <w:adjustRightInd/>
              <w:snapToGrid/>
              <w:spacing w:line="360" w:lineRule="exact"/>
              <w:ind w:firstLine="482" w:firstLineChars="200"/>
              <w:textAlignment w:val="auto"/>
              <w:rPr>
                <w:rFonts w:ascii="宋体" w:hAnsi="宋体"/>
                <w:kern w:val="0"/>
                <w:sz w:val="24"/>
                <w:lang w:val="en"/>
              </w:rPr>
            </w:pPr>
            <w:r>
              <w:rPr>
                <w:rFonts w:hint="eastAsia" w:ascii="宋体" w:hAnsi="宋体"/>
                <w:b/>
                <w:bCs/>
                <w:kern w:val="0"/>
                <w:sz w:val="24"/>
                <w:lang w:val="en" w:eastAsia="zh-CN"/>
              </w:rPr>
              <w:t>二</w:t>
            </w:r>
            <w:r>
              <w:rPr>
                <w:rFonts w:hint="eastAsia" w:ascii="宋体" w:hAnsi="宋体"/>
                <w:b/>
                <w:bCs/>
                <w:kern w:val="0"/>
                <w:sz w:val="24"/>
                <w:lang w:val="en"/>
              </w:rPr>
              <w:t>、推进绿色环境打造专项行动。</w:t>
            </w:r>
            <w:r>
              <w:rPr>
                <w:rFonts w:hint="eastAsia" w:ascii="宋体" w:hAnsi="宋体"/>
                <w:kern w:val="0"/>
                <w:sz w:val="24"/>
                <w:lang w:val="en"/>
              </w:rPr>
              <w:t>集中开展爱国卫生月、迎亚运等城乡环境卫生大清理、大扫除、大治理活动。</w:t>
            </w:r>
          </w:p>
          <w:p>
            <w:pPr>
              <w:keepNext w:val="0"/>
              <w:keepLines w:val="0"/>
              <w:pageBreakBefore w:val="0"/>
              <w:kinsoku/>
              <w:wordWrap/>
              <w:overflowPunct/>
              <w:topLinePunct w:val="0"/>
              <w:bidi w:val="0"/>
              <w:adjustRightInd/>
              <w:snapToGrid/>
              <w:spacing w:line="360" w:lineRule="exact"/>
              <w:ind w:firstLine="482" w:firstLineChars="200"/>
              <w:textAlignment w:val="auto"/>
              <w:rPr>
                <w:rFonts w:hint="eastAsia" w:ascii="宋体" w:hAnsi="宋体"/>
                <w:kern w:val="0"/>
                <w:sz w:val="24"/>
                <w:lang w:val="en"/>
              </w:rPr>
            </w:pPr>
            <w:r>
              <w:rPr>
                <w:rFonts w:hint="eastAsia" w:ascii="宋体" w:hAnsi="宋体"/>
                <w:b/>
                <w:bCs/>
                <w:kern w:val="0"/>
                <w:sz w:val="24"/>
                <w:lang w:val="en" w:eastAsia="zh-CN"/>
              </w:rPr>
              <w:t>三</w:t>
            </w:r>
            <w:r>
              <w:rPr>
                <w:rFonts w:hint="eastAsia" w:ascii="宋体" w:hAnsi="宋体"/>
                <w:b/>
                <w:bCs/>
                <w:kern w:val="0"/>
                <w:sz w:val="24"/>
                <w:lang w:val="en"/>
              </w:rPr>
              <w:t>、持续强化社会健康综合治理。</w:t>
            </w:r>
            <w:r>
              <w:rPr>
                <w:rFonts w:hint="eastAsia" w:ascii="宋体" w:hAnsi="宋体"/>
                <w:kern w:val="0"/>
                <w:sz w:val="24"/>
                <w:lang w:val="en"/>
              </w:rPr>
              <w:t>迎接新一轮国家卫生城市复审，引导全域创建，做好迎接全国爱卫办、省爱卫办明查暗访准备。</w:t>
            </w:r>
          </w:p>
          <w:p>
            <w:pPr>
              <w:keepNext w:val="0"/>
              <w:keepLines w:val="0"/>
              <w:pageBreakBefore w:val="0"/>
              <w:kinsoku/>
              <w:wordWrap/>
              <w:overflowPunct/>
              <w:topLinePunct w:val="0"/>
              <w:bidi w:val="0"/>
              <w:adjustRightInd/>
              <w:snapToGrid/>
              <w:spacing w:line="360" w:lineRule="exact"/>
              <w:ind w:firstLine="482" w:firstLineChars="200"/>
              <w:textAlignment w:val="auto"/>
              <w:rPr>
                <w:rFonts w:ascii="宋体" w:hAnsi="宋体"/>
                <w:kern w:val="0"/>
                <w:sz w:val="24"/>
                <w:lang w:val="en"/>
              </w:rPr>
            </w:pPr>
            <w:r>
              <w:rPr>
                <w:rFonts w:hint="eastAsia" w:ascii="宋体" w:hAnsi="宋体"/>
                <w:b/>
                <w:bCs/>
                <w:kern w:val="0"/>
                <w:sz w:val="24"/>
                <w:lang w:val="en" w:eastAsia="zh-CN"/>
              </w:rPr>
              <w:t>四</w:t>
            </w:r>
            <w:r>
              <w:rPr>
                <w:rFonts w:hint="eastAsia" w:ascii="宋体" w:hAnsi="宋体"/>
                <w:b/>
                <w:bCs/>
                <w:kern w:val="0"/>
                <w:sz w:val="24"/>
                <w:lang w:val="en"/>
              </w:rPr>
              <w:t>、深入推进城乡病媒生物防制。</w:t>
            </w:r>
            <w:r>
              <w:rPr>
                <w:rFonts w:hint="eastAsia" w:ascii="宋体" w:hAnsi="宋体"/>
                <w:kern w:val="0"/>
                <w:sz w:val="24"/>
                <w:lang w:val="en"/>
              </w:rPr>
              <w:t>各街道、镇病媒密度C级评估覆盖率达100%。加大除四害村建设力度</w:t>
            </w:r>
            <w:r>
              <w:rPr>
                <w:rFonts w:ascii="宋体" w:hAnsi="宋体"/>
                <w:kern w:val="0"/>
                <w:sz w:val="24"/>
                <w:lang w:val="en"/>
              </w:rPr>
              <w:t>，</w:t>
            </w:r>
            <w:r>
              <w:rPr>
                <w:rFonts w:hint="eastAsia" w:ascii="宋体" w:hAnsi="宋体"/>
                <w:kern w:val="0"/>
                <w:sz w:val="24"/>
                <w:lang w:val="en"/>
              </w:rPr>
              <w:t>开展病媒生物防制技术人员和业务骨干培训。</w:t>
            </w:r>
          </w:p>
          <w:p>
            <w:pPr>
              <w:pStyle w:val="15"/>
              <w:keepNext w:val="0"/>
              <w:keepLines w:val="0"/>
              <w:pageBreakBefore w:val="0"/>
              <w:kinsoku/>
              <w:wordWrap/>
              <w:overflowPunct/>
              <w:topLinePunct w:val="0"/>
              <w:bidi w:val="0"/>
              <w:adjustRightInd/>
              <w:snapToGrid/>
              <w:spacing w:line="360" w:lineRule="exact"/>
              <w:ind w:firstLine="480" w:firstLineChars="200"/>
              <w:jc w:val="center"/>
              <w:textAlignment w:val="auto"/>
              <w:rPr>
                <w:rFonts w:ascii="宋体" w:hAnsi="宋体" w:eastAsia="宋体" w:cs="Times New Roman"/>
                <w:sz w:val="24"/>
                <w:szCs w:val="24"/>
                <w:lang w:val="en" w:bidi="ar-SA"/>
              </w:rPr>
            </w:pPr>
          </w:p>
        </w:tc>
        <w:tc>
          <w:tcPr>
            <w:tcW w:w="1200" w:type="dxa"/>
            <w:vAlign w:val="center"/>
          </w:tcPr>
          <w:p>
            <w:pPr>
              <w:pStyle w:val="15"/>
              <w:jc w:val="center"/>
              <w:rPr>
                <w:rFonts w:ascii="Times New Roman" w:hAnsi="Times New Roman" w:cs="Times New Roman"/>
                <w:sz w:val="24"/>
              </w:rPr>
            </w:pPr>
            <w:r>
              <w:rPr>
                <w:rFonts w:ascii="Times New Roman" w:hAnsi="Times New Roman" w:cs="Times New Roman"/>
                <w:sz w:val="24"/>
              </w:rPr>
              <w:t>已完成</w:t>
            </w:r>
          </w:p>
        </w:tc>
        <w:tc>
          <w:tcPr>
            <w:tcW w:w="990" w:type="dxa"/>
            <w:vAlign w:val="center"/>
          </w:tcPr>
          <w:p>
            <w:pPr>
              <w:pStyle w:val="15"/>
              <w:jc w:val="center"/>
              <w:rPr>
                <w:rFonts w:ascii="Times New Roman" w:hAnsi="Times New Roman" w:cs="Times New Roman"/>
                <w:sz w:val="24"/>
              </w:rPr>
            </w:pPr>
          </w:p>
        </w:tc>
        <w:tc>
          <w:tcPr>
            <w:tcW w:w="1020" w:type="dxa"/>
            <w:vAlign w:val="center"/>
          </w:tcPr>
          <w:p>
            <w:pPr>
              <w:pStyle w:val="15"/>
              <w:jc w:val="center"/>
              <w:rPr>
                <w:rFonts w:ascii="宋体" w:hAnsi="宋体" w:eastAsia="宋体" w:cs="Times New Roman"/>
                <w:sz w:val="24"/>
                <w:szCs w:val="24"/>
                <w:lang w:val="en" w:bidi="ar-SA"/>
              </w:rPr>
            </w:pPr>
            <w:r>
              <w:rPr>
                <w:rFonts w:ascii="宋体" w:hAnsi="宋体" w:eastAsia="宋体" w:cs="Times New Roman"/>
                <w:sz w:val="24"/>
                <w:szCs w:val="24"/>
                <w:lang w:val="en" w:bidi="ar-SA"/>
              </w:rPr>
              <w:t>区卫健局</w:t>
            </w:r>
          </w:p>
        </w:tc>
      </w:tr>
    </w:tbl>
    <w:p>
      <w:pPr>
        <w:rPr>
          <w:sz w:val="28"/>
        </w:rPr>
      </w:pPr>
    </w:p>
    <w:p>
      <w:pPr>
        <w:rPr>
          <w:sz w:val="28"/>
        </w:rPr>
        <w:sectPr>
          <w:footerReference r:id="rId3" w:type="default"/>
          <w:pgSz w:w="16840" w:h="11910" w:orient="landscape"/>
          <w:pgMar w:top="1474" w:right="1474" w:bottom="1474" w:left="1474" w:header="851" w:footer="1134" w:gutter="0"/>
          <w:cols w:space="720" w:num="1"/>
        </w:sectPr>
      </w:pPr>
      <w:r>
        <w:rPr>
          <w:sz w:val="28"/>
        </w:rPr>
        <w:t>填</w:t>
      </w:r>
      <w:r>
        <w:rPr>
          <w:spacing w:val="-3"/>
          <w:sz w:val="28"/>
        </w:rPr>
        <w:t>报</w:t>
      </w:r>
      <w:r>
        <w:rPr>
          <w:sz w:val="28"/>
        </w:rPr>
        <w:t>人：</w:t>
      </w:r>
      <w:r>
        <w:rPr>
          <w:rFonts w:hint="eastAsia"/>
          <w:sz w:val="28"/>
          <w:lang w:eastAsia="zh-CN"/>
        </w:rPr>
        <w:t>王婧</w:t>
      </w:r>
      <w:r>
        <w:rPr>
          <w:sz w:val="28"/>
        </w:rPr>
        <w:tab/>
      </w:r>
      <w:r>
        <w:rPr>
          <w:sz w:val="28"/>
        </w:rPr>
        <w:t xml:space="preserve">             </w:t>
      </w:r>
      <w:r>
        <w:rPr>
          <w:rFonts w:hint="eastAsia"/>
          <w:sz w:val="28"/>
          <w:lang w:val="en-US" w:eastAsia="zh-CN"/>
        </w:rPr>
        <w:t xml:space="preserve">    </w:t>
      </w:r>
      <w:r>
        <w:rPr>
          <w:sz w:val="28"/>
        </w:rPr>
        <w:t xml:space="preserve">  联</w:t>
      </w:r>
      <w:r>
        <w:rPr>
          <w:spacing w:val="-3"/>
          <w:sz w:val="28"/>
        </w:rPr>
        <w:t>系</w:t>
      </w:r>
      <w:r>
        <w:rPr>
          <w:sz w:val="28"/>
        </w:rPr>
        <w:t>方式：</w:t>
      </w:r>
      <w:r>
        <w:rPr>
          <w:rFonts w:hint="eastAsia"/>
          <w:sz w:val="28"/>
          <w:lang w:val="en-US" w:eastAsia="zh-CN"/>
        </w:rPr>
        <w:t>0576-89025399</w:t>
      </w:r>
      <w:r>
        <w:rPr>
          <w:sz w:val="28"/>
        </w:rPr>
        <w:tab/>
      </w:r>
      <w:r>
        <w:rPr>
          <w:sz w:val="28"/>
        </w:rPr>
        <w:t xml:space="preserve">          </w:t>
      </w:r>
      <w:r>
        <w:rPr>
          <w:rFonts w:hint="eastAsia"/>
          <w:sz w:val="28"/>
          <w:lang w:val="en-US" w:eastAsia="zh-CN"/>
        </w:rPr>
        <w:t xml:space="preserve">        </w:t>
      </w:r>
      <w:r>
        <w:rPr>
          <w:sz w:val="28"/>
        </w:rPr>
        <w:t>填</w:t>
      </w:r>
      <w:r>
        <w:rPr>
          <w:spacing w:val="-3"/>
          <w:sz w:val="28"/>
        </w:rPr>
        <w:t>报</w:t>
      </w:r>
      <w:r>
        <w:rPr>
          <w:sz w:val="28"/>
        </w:rPr>
        <w:t>时间：</w:t>
      </w:r>
      <w:r>
        <w:rPr>
          <w:rFonts w:hint="eastAsia"/>
          <w:sz w:val="28"/>
          <w:lang w:val="en-US" w:eastAsia="zh-CN"/>
        </w:rPr>
        <w:t>2023</w:t>
      </w:r>
      <w:r>
        <w:rPr>
          <w:sz w:val="28"/>
        </w:rPr>
        <w:t>年</w:t>
      </w:r>
      <w:r>
        <w:rPr>
          <w:rFonts w:hint="eastAsia"/>
          <w:sz w:val="28"/>
          <w:lang w:val="en-US" w:eastAsia="zh-CN"/>
        </w:rPr>
        <w:t>7</w:t>
      </w:r>
      <w:r>
        <w:rPr>
          <w:sz w:val="28"/>
        </w:rPr>
        <w:t>月</w:t>
      </w:r>
      <w:r>
        <w:rPr>
          <w:rFonts w:hint="eastAsia"/>
          <w:sz w:val="28"/>
          <w:lang w:val="en-US" w:eastAsia="zh-CN"/>
        </w:rPr>
        <w:t>21</w:t>
      </w:r>
      <w:r>
        <w:rPr>
          <w:sz w:val="28"/>
        </w:rPr>
        <w:t>日</w:t>
      </w:r>
    </w:p>
    <w:p>
      <w:pPr>
        <w:spacing w:line="40" w:lineRule="exact"/>
      </w:pPr>
    </w:p>
    <w:p/>
    <w:sectPr>
      <w:headerReference r:id="rId6" w:type="first"/>
      <w:footerReference r:id="rId9" w:type="first"/>
      <w:headerReference r:id="rId4" w:type="default"/>
      <w:footerReference r:id="rId7" w:type="default"/>
      <w:headerReference r:id="rId5" w:type="even"/>
      <w:footerReference r:id="rId8" w:type="even"/>
      <w:pgSz w:w="16840" w:h="11910" w:orient="landscape"/>
      <w:pgMar w:top="1474" w:right="1474" w:bottom="1474" w:left="1474" w:header="851"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F5082"/>
    <w:multiLevelType w:val="singleLevel"/>
    <w:tmpl w:val="AA1F50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5NTRkNmY3OTllMTU4MTNmZmQ1NjcwMTliMDNiMDkifQ=="/>
  </w:docVars>
  <w:rsids>
    <w:rsidRoot w:val="000E3456"/>
    <w:rsid w:val="000A3119"/>
    <w:rsid w:val="000E3456"/>
    <w:rsid w:val="00107C00"/>
    <w:rsid w:val="00205982"/>
    <w:rsid w:val="00266C68"/>
    <w:rsid w:val="004A7ADE"/>
    <w:rsid w:val="004C4470"/>
    <w:rsid w:val="004F4601"/>
    <w:rsid w:val="005872B9"/>
    <w:rsid w:val="006061E4"/>
    <w:rsid w:val="00A270B6"/>
    <w:rsid w:val="00A827E4"/>
    <w:rsid w:val="00BF568E"/>
    <w:rsid w:val="00E37BC5"/>
    <w:rsid w:val="00F268C1"/>
    <w:rsid w:val="250F3FB0"/>
    <w:rsid w:val="47A5329C"/>
    <w:rsid w:val="4C175594"/>
    <w:rsid w:val="584B2834"/>
    <w:rsid w:val="5E0B6329"/>
    <w:rsid w:val="6943416F"/>
    <w:rsid w:val="6B5B46E4"/>
    <w:rsid w:val="6F543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link w:val="12"/>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page number"/>
    <w:basedOn w:val="8"/>
    <w:qFormat/>
    <w:uiPriority w:val="0"/>
  </w:style>
  <w:style w:type="character" w:customStyle="1" w:styleId="10">
    <w:name w:val="页眉 Char"/>
    <w:basedOn w:val="8"/>
    <w:link w:val="5"/>
    <w:qFormat/>
    <w:uiPriority w:val="0"/>
    <w:rPr>
      <w:sz w:val="18"/>
      <w:szCs w:val="18"/>
    </w:rPr>
  </w:style>
  <w:style w:type="character" w:customStyle="1" w:styleId="11">
    <w:name w:val="页脚 Char"/>
    <w:basedOn w:val="8"/>
    <w:link w:val="4"/>
    <w:qFormat/>
    <w:uiPriority w:val="0"/>
    <w:rPr>
      <w:sz w:val="18"/>
      <w:szCs w:val="18"/>
    </w:rPr>
  </w:style>
  <w:style w:type="character" w:customStyle="1" w:styleId="12">
    <w:name w:val="正文文本 Char"/>
    <w:basedOn w:val="8"/>
    <w:link w:val="3"/>
    <w:qFormat/>
    <w:uiPriority w:val="1"/>
    <w:rPr>
      <w:rFonts w:ascii="仿宋_GB2312" w:hAnsi="仿宋_GB2312" w:eastAsia="仿宋_GB2312" w:cs="仿宋_GB2312"/>
      <w:kern w:val="0"/>
      <w:sz w:val="32"/>
      <w:szCs w:val="32"/>
      <w:lang w:val="zh-CN" w:bidi="zh-CN"/>
    </w:rPr>
  </w:style>
  <w:style w:type="paragraph" w:customStyle="1" w:styleId="13">
    <w:name w:val="标题 11"/>
    <w:basedOn w:val="1"/>
    <w:qFormat/>
    <w:uiPriority w:val="1"/>
    <w:pPr>
      <w:autoSpaceDE w:val="0"/>
      <w:autoSpaceDN w:val="0"/>
      <w:spacing w:line="751" w:lineRule="exact"/>
      <w:ind w:left="2522" w:right="1281"/>
      <w:jc w:val="center"/>
      <w:outlineLvl w:val="1"/>
    </w:pPr>
    <w:rPr>
      <w:rFonts w:ascii="方正小标宋简体" w:hAnsi="方正小标宋简体" w:eastAsia="方正小标宋简体" w:cs="方正小标宋简体"/>
      <w:i/>
      <w:kern w:val="0"/>
      <w:sz w:val="44"/>
      <w:szCs w:val="44"/>
      <w:lang w:val="zh-CN" w:bidi="zh-CN"/>
    </w:rPr>
  </w:style>
  <w:style w:type="paragraph" w:styleId="14">
    <w:name w:val="List Paragraph"/>
    <w:basedOn w:val="1"/>
    <w:qFormat/>
    <w:uiPriority w:val="1"/>
    <w:pPr>
      <w:autoSpaceDE w:val="0"/>
      <w:autoSpaceDN w:val="0"/>
      <w:spacing w:before="190"/>
      <w:ind w:left="2110" w:hanging="399"/>
      <w:jc w:val="left"/>
    </w:pPr>
    <w:rPr>
      <w:rFonts w:ascii="仿宋_GB2312" w:hAnsi="仿宋_GB2312" w:eastAsia="仿宋_GB2312" w:cs="仿宋_GB2312"/>
      <w:kern w:val="0"/>
      <w:sz w:val="22"/>
      <w:szCs w:val="22"/>
      <w:lang w:val="zh-CN" w:bidi="zh-CN"/>
    </w:rPr>
  </w:style>
  <w:style w:type="paragraph" w:customStyle="1" w:styleId="15">
    <w:name w:val="Table Paragraph"/>
    <w:basedOn w:val="1"/>
    <w:qFormat/>
    <w:uiPriority w:val="1"/>
    <w:pPr>
      <w:autoSpaceDE w:val="0"/>
      <w:autoSpaceDN w:val="0"/>
      <w:jc w:val="left"/>
    </w:pPr>
    <w:rPr>
      <w:rFonts w:ascii="黑体" w:hAnsi="黑体" w:eastAsia="黑体" w:cs="黑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D925-7047-428C-A16A-6EFC169F9824}">
  <ds:schemaRefs/>
</ds:datastoreItem>
</file>

<file path=docProps/app.xml><?xml version="1.0" encoding="utf-8"?>
<Properties xmlns="http://schemas.openxmlformats.org/officeDocument/2006/extended-properties" xmlns:vt="http://schemas.openxmlformats.org/officeDocument/2006/docPropsVTypes">
  <Template>Normal</Template>
  <Pages>7</Pages>
  <Words>3321</Words>
  <Characters>3432</Characters>
  <Lines>21</Lines>
  <Paragraphs>6</Paragraphs>
  <TotalTime>16</TotalTime>
  <ScaleCrop>false</ScaleCrop>
  <LinksUpToDate>false</LinksUpToDate>
  <CharactersWithSpaces>3474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2023-07-20T01:43:00Z</dcterms:created>
  <dc:creator>apple</dc:creator>
  <cp:lastModifiedBy>admin22</cp:lastModifiedBy>
  <cp:lastPrinted>2023-07-21T08:34:00Z</cp:lastPrinted>
  <dcterms:modified xsi:type="dcterms:W3CDTF">2023-08-04T01:43:13Z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C64DC03A7A68490D9EC4E7D9DEA64DFA_12</vt:lpwstr>
  </property>
</Properties>
</file>