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t>附件1</w:t>
      </w:r>
      <w:r>
        <w:rPr>
          <w:rFonts w:hint="eastAsia" w:ascii="方正小标宋简体" w:hAnsi="黑体" w:eastAsia="方正小标宋简体"/>
          <w:sz w:val="36"/>
          <w:szCs w:val="36"/>
        </w:rPr>
        <w:t>:</w:t>
      </w:r>
    </w:p>
    <w:p>
      <w:pPr>
        <w:snapToGrid w:val="0"/>
        <w:jc w:val="center"/>
        <w:rPr>
          <w:rFonts w:hint="eastAsia" w:ascii="方正小标宋简体" w:hAnsi="Arial" w:eastAsia="方正小标宋简体" w:cs="Arial"/>
          <w:color w:val="000000"/>
          <w:kern w:val="0"/>
          <w:sz w:val="32"/>
          <w:szCs w:val="32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2020年度台州市</w:t>
      </w:r>
      <w:r>
        <w:rPr>
          <w:rFonts w:ascii="方正小标宋简体" w:hAnsi="黑体" w:eastAsia="方正小标宋简体"/>
          <w:sz w:val="36"/>
          <w:szCs w:val="36"/>
        </w:rPr>
        <w:t>知识产权</w:t>
      </w:r>
      <w:r>
        <w:rPr>
          <w:rFonts w:hint="eastAsia" w:ascii="方正小标宋简体" w:hAnsi="黑体" w:eastAsia="方正小标宋简体"/>
          <w:sz w:val="36"/>
          <w:szCs w:val="36"/>
        </w:rPr>
        <w:t>运营服务体系建设核准类补助和奖励项目</w:t>
      </w:r>
      <w:r>
        <w:rPr>
          <w:rFonts w:hint="eastAsia" w:ascii="方正小标宋简体" w:hAnsi="Arial" w:eastAsia="方正小标宋简体" w:cs="Arial"/>
          <w:color w:val="000000"/>
          <w:kern w:val="0"/>
          <w:sz w:val="32"/>
          <w:szCs w:val="32"/>
        </w:rPr>
        <w:t>汇总表</w:t>
      </w:r>
    </w:p>
    <w:p>
      <w:pPr>
        <w:snapToGrid w:val="0"/>
        <w:jc w:val="center"/>
        <w:rPr>
          <w:rFonts w:ascii="方正小标宋简体" w:hAnsi="Arial" w:eastAsia="方正小标宋简体" w:cs="Arial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填报单位：椒江区市场监督管理局                                                   日期：2020年 11月 11日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5669"/>
        <w:gridCol w:w="3544"/>
        <w:gridCol w:w="198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Header/>
          <w:jc w:val="center"/>
        </w:trPr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5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  <w:t>申报单位</w:t>
            </w:r>
          </w:p>
        </w:tc>
        <w:tc>
          <w:tcPr>
            <w:tcW w:w="3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  <w:t>金额</w:t>
            </w:r>
          </w:p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  <w:t>（万元）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浙江五联建设有限公司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浙江翔科缝纫机股份有限公司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浙江博弈科技股份有限公司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浙江怡和卫浴有限公司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台州市椒江萤星电子电器有限公司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普济生物科技（台州）有限公司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银河电器科技有限公司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浙江艾沃克科技股份有限公司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浙江山峪集团股份有限公司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浙江川田缝纫机有限公司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浙江新顺发缝纫机科技股份有限公司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浙江星星便洁宝有限公司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浙江海翔药业股份有限公司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14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浙江英士利卫浴有限公司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台州市椒光照明有限公司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16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浙江乐雪儿家居用品有限公司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17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浙江台成自动化科技有限公司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通过国家贯标认证奖励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18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浙江翔科缝纫机股份有限公司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PCT专利申请补助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19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浙江博弈科技股份有限公司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PCT专利申请补助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20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</w:rPr>
              <w:t>普济生物科技（台州）有限公司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PCT专利申请补助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21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杰克缝纫机股份有限公司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PCT专利申请补助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22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浙江大学台州研究院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PCT专利申请补助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23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浙江蓝景科技有限公司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PCT专利申请补助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24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台州市美诗儿电器有限公司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PCT专利申请补助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25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浙江九洲药业股份有限公司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PCT专利申请补助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26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钟建斌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PCT专利申请补助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27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浙江海正药业股份有限公司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PCT专利申请补助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28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国网浙江省电力有限公司台州供电公司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PCT专利申请补助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29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蓝天知识产权代理（浙江）有限公司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知识产权集中托管奖励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30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台州天祺专利代理事务所（普通合伙）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知识产权集中托管奖励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31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易中国际知识产权顾问有限公司（易中国际知识产权顾问有限公司台州分公司）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知识产权集中托管奖励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32</w:t>
            </w:r>
          </w:p>
        </w:tc>
        <w:tc>
          <w:tcPr>
            <w:tcW w:w="5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浙江海贸律师事务所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知识产权集中托管奖励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06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  <w:t>合计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/>
                <w:kern w:val="0"/>
                <w:sz w:val="28"/>
                <w:szCs w:val="32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此表由各县（市、区）市场监督管理局、集聚区分局负责汇总。</w:t>
      </w: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C5385"/>
    <w:rsid w:val="05C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2020-11-11T02:29:00Z</dcterms:created>
  <dc:creator>半夏</dc:creator>
  <cp:lastModifiedBy>半夏</cp:lastModifiedBy>
  <dcterms:modified xsi:type="dcterms:W3CDTF">2020-11-11T02:30:48Z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